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A7E4B" w:rsidRPr="00EC2200" w:rsidRDefault="009D0768">
      <w:pPr>
        <w:rPr>
          <w:b/>
          <w:sz w:val="28"/>
          <w:szCs w:val="28"/>
        </w:rPr>
      </w:pPr>
      <w:r w:rsidRPr="00EC2200">
        <w:rPr>
          <w:sz w:val="28"/>
          <w:szCs w:val="28"/>
        </w:rPr>
        <w:t xml:space="preserve">Stručný pracovní popis opatření Pilíř </w:t>
      </w:r>
      <w:r w:rsidRPr="00EC2200">
        <w:rPr>
          <w:b/>
          <w:sz w:val="28"/>
          <w:szCs w:val="28"/>
        </w:rPr>
        <w:t>B</w:t>
      </w:r>
      <w:r w:rsidRPr="00EC2200">
        <w:rPr>
          <w:sz w:val="28"/>
          <w:szCs w:val="28"/>
        </w:rPr>
        <w:t xml:space="preserve"> </w:t>
      </w:r>
      <w:r w:rsidRPr="00EC2200">
        <w:rPr>
          <w:b/>
          <w:sz w:val="28"/>
          <w:szCs w:val="28"/>
        </w:rPr>
        <w:t>Přímé zahraniční inves</w:t>
      </w:r>
      <w:bookmarkStart w:id="0" w:name="_GoBack"/>
      <w:bookmarkEnd w:id="0"/>
      <w:r w:rsidRPr="00EC2200">
        <w:rPr>
          <w:b/>
          <w:sz w:val="28"/>
          <w:szCs w:val="28"/>
        </w:rPr>
        <w:t>tice</w:t>
      </w:r>
    </w:p>
    <w:p w:rsidR="009D0768" w:rsidRPr="0016040C" w:rsidRDefault="009D0768" w:rsidP="009D0768">
      <w:pPr>
        <w:rPr>
          <w:b/>
          <w:u w:val="single"/>
        </w:rPr>
      </w:pPr>
      <w:r w:rsidRPr="0016040C">
        <w:rPr>
          <w:b/>
          <w:u w:val="single"/>
        </w:rPr>
        <w:t>Nadregionální opatření:</w:t>
      </w:r>
    </w:p>
    <w:tbl>
      <w:tblPr>
        <w:tblStyle w:val="a"/>
        <w:tblW w:w="9644" w:type="dxa"/>
        <w:tblInd w:w="-5" w:type="dxa"/>
        <w:tblLayout w:type="fixed"/>
        <w:tblLook w:val="0400" w:firstRow="0" w:lastRow="0" w:firstColumn="0" w:lastColumn="0" w:noHBand="0" w:noVBand="1"/>
      </w:tblPr>
      <w:tblGrid>
        <w:gridCol w:w="2800"/>
        <w:gridCol w:w="6844"/>
      </w:tblGrid>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Název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bookmarkStart w:id="1" w:name="_gjdgxs" w:colFirst="0" w:colLast="0"/>
            <w:bookmarkEnd w:id="1"/>
            <w:r>
              <w:rPr>
                <w:b/>
              </w:rPr>
              <w:t xml:space="preserve">Regenerace a revitalizace </w:t>
            </w:r>
            <w:proofErr w:type="spellStart"/>
            <w:r>
              <w:rPr>
                <w:b/>
              </w:rPr>
              <w:t>brownfieldů</w:t>
            </w:r>
            <w:proofErr w:type="spellEnd"/>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Zdůvodnění a popis programu</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120"/>
            </w:pPr>
            <w:r>
              <w:t>Na území hospodářsky problémových krajů je více než jinde množství starých průmyslových budov, pozemků a areálů (</w:t>
            </w:r>
            <w:proofErr w:type="spellStart"/>
            <w:r>
              <w:t>brownfields</w:t>
            </w:r>
            <w:proofErr w:type="spellEnd"/>
            <w:r>
              <w:t xml:space="preserve">), v majetku různých subjektů, často však také obcí. Tyto zanedbané či již nevyužívané areály je obtížné znovu využít nebo lépe využít za běžných tržních podmínek, protože jsou často poškozeny různými ekologickými zátěžemi z minulosti před r. 1989 nebo jsou neudržované a pokud se na nich odehrávají hospodářské aktivity, jedná se často o takový druh aktivit, které neumožňují investice do rozsáhlejší či podstatné proměny těchto ploch. Staré průmyslové plochy a objekty také často poškozují vzhled a image těch částí měst, v nichž jsou umístěny. </w:t>
            </w:r>
          </w:p>
          <w:p w:rsidR="003A7E4B" w:rsidRDefault="009D0768">
            <w:pPr>
              <w:spacing w:after="120"/>
            </w:pPr>
            <w:r>
              <w:t xml:space="preserve">Program podpory </w:t>
            </w:r>
            <w:proofErr w:type="spellStart"/>
            <w:r>
              <w:t>brownfields</w:t>
            </w:r>
            <w:proofErr w:type="spellEnd"/>
            <w:r>
              <w:t xml:space="preserve"> proto nabízí městům a obcím dotaci na revitalizaci a regeneraci starých průmyslových areálů, které jsou v jejich majetku a které lze z vlastních prostředků měst a obcí jen obtížně připravit k dalšímu podnikatelskému využití. </w:t>
            </w:r>
          </w:p>
          <w:p w:rsidR="003A7E4B" w:rsidRDefault="009D0768">
            <w:pPr>
              <w:spacing w:after="120"/>
            </w:pPr>
            <w:r>
              <w:t xml:space="preserve">Program umožní, aby obce vytvářely nemovitosti (objekty, pozemky) pro přímé (zahraniční) investory a pro podnikatele konverzí </w:t>
            </w:r>
            <w:proofErr w:type="spellStart"/>
            <w:r>
              <w:t>brownfields</w:t>
            </w:r>
            <w:proofErr w:type="spellEnd"/>
            <w:r>
              <w:t xml:space="preserve"> k novému, stále podnikatelskému využití, aby byly tyto nemovitosti nabízeny investorům a podnikatelům a aby byly pro ně lákavé a vhodně připravené, za běžných tržních podmínek, bez dodatečných zátěží, které by bylo nutné před vlastní podnikatelskou investicí řešit. V případě pozemků je účelem programu postavit </w:t>
            </w:r>
            <w:proofErr w:type="spellStart"/>
            <w:r>
              <w:t>brownfields</w:t>
            </w:r>
            <w:proofErr w:type="spellEnd"/>
            <w:r>
              <w:t xml:space="preserve"> na roveň </w:t>
            </w:r>
            <w:proofErr w:type="spellStart"/>
            <w:r>
              <w:t>greenfields</w:t>
            </w:r>
            <w:proofErr w:type="spellEnd"/>
            <w:r>
              <w:t xml:space="preserve"> z hlediska investiční připravenosti a atraktivity. V případě objektů pro podnikání je smyslem programu vytvořit specializované podnikatelské prostory, které by byly zaměřeny a cíleně pronajímány podnikatelům rozvíjejícím krajské specializace, podnikatelům s potenciálem růstu. </w:t>
            </w:r>
          </w:p>
          <w:p w:rsidR="003A7E4B" w:rsidRDefault="009D0768">
            <w:pPr>
              <w:spacing w:after="120"/>
            </w:pPr>
            <w:r>
              <w:t xml:space="preserve">V případě pozemků určených k investici musí výsledný připravený pozemek po revitalizaci splňovat všechny předpoklady, které na pozemky kladou investoři a musí umožňovat brzké zahájení investice. V případě podnikatelských objektů bude objekt připraven k pronájmu a k usídlení podnikatelů, kteří odpovídají krajské specializaci a jejichž aktivity současně budou modernizovat krajskou ekonomiku. U podnikatelů se předpokládá, že mají růstový potenciál. </w:t>
            </w:r>
          </w:p>
          <w:p w:rsidR="003A7E4B" w:rsidRDefault="009D0768">
            <w:pPr>
              <w:spacing w:after="120"/>
            </w:pPr>
            <w:r>
              <w:t xml:space="preserve">Program bude připravovat a vybírat k podpoře takové plochy a objekty </w:t>
            </w:r>
            <w:proofErr w:type="spellStart"/>
            <w:r>
              <w:t>brownfieldů</w:t>
            </w:r>
            <w:proofErr w:type="spellEnd"/>
            <w:r>
              <w:t xml:space="preserve">, jejichž odstranění či vyčištění či příprava pro další soukromé využití jsou pro soukromý sektor příliš nákladné a zůstaly by nevyužity. Program tím bude také vytvářet příležitosti pro investory a podnikatele k usídlení a rozvoji na plochách, alternativních ke </w:t>
            </w:r>
            <w:proofErr w:type="spellStart"/>
            <w:r>
              <w:t>greenfields</w:t>
            </w:r>
            <w:proofErr w:type="spellEnd"/>
            <w:r>
              <w:t xml:space="preserve"> a bude tím snižovat požadavky na zábor nových ploch v případech, kdy je vyčištěný a </w:t>
            </w:r>
            <w:r>
              <w:lastRenderedPageBreak/>
              <w:t xml:space="preserve">připravený </w:t>
            </w:r>
            <w:proofErr w:type="spellStart"/>
            <w:r>
              <w:t>brownfield</w:t>
            </w:r>
            <w:proofErr w:type="spellEnd"/>
            <w:r>
              <w:t xml:space="preserve"> pro investora/podnikatele vhodnou alternativou. </w:t>
            </w:r>
          </w:p>
          <w:p w:rsidR="003A7E4B" w:rsidRDefault="009D0768">
            <w:pPr>
              <w:spacing w:after="120" w:line="240" w:lineRule="auto"/>
            </w:pPr>
            <w:r>
              <w:t xml:space="preserve">Za předpokladu, že intervence bude dostatečně rozsáhlá a doprovázena dalšími změnami, např. ve veřejné infrastruktuře, ve zlepšení údržby a vzhledu veřejných prostranství, apod. z rozpočtů měst, bude se v důsledku programu zlepšovat image měst a do podpořených lokalit se vrátí městský život v lepší kvalitě než dosud. </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rsidP="00377013">
            <w:pPr>
              <w:spacing w:after="0" w:line="240" w:lineRule="auto"/>
            </w:pPr>
            <w:r>
              <w:rPr>
                <w:b/>
              </w:rPr>
              <w:lastRenderedPageBreak/>
              <w:t xml:space="preserve">Odpovědnost za realizaci = nositel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proofErr w:type="spellStart"/>
            <w:r>
              <w:rPr>
                <w:i/>
              </w:rPr>
              <w:t>CzechInvest</w:t>
            </w:r>
            <w:proofErr w:type="spellEnd"/>
          </w:p>
          <w:p w:rsidR="003A7E4B" w:rsidRDefault="009D0768">
            <w:pPr>
              <w:spacing w:after="0" w:line="240" w:lineRule="auto"/>
            </w:pPr>
            <w:r>
              <w:rPr>
                <w:i/>
              </w:rPr>
              <w:t>Města, obce</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Rozpočet pro realizaci opatření (odhad)</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557 mil. Kč (2017)</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Přepokládané zdroje financování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Státní rozpočet</w:t>
            </w:r>
          </w:p>
          <w:p w:rsidR="003A7E4B" w:rsidRDefault="009D0768">
            <w:pPr>
              <w:spacing w:after="0" w:line="240" w:lineRule="auto"/>
            </w:pPr>
            <w:r>
              <w:rPr>
                <w:i/>
              </w:rPr>
              <w:t>Rozpočty obcí</w:t>
            </w:r>
          </w:p>
        </w:tc>
      </w:tr>
    </w:tbl>
    <w:p w:rsidR="003A7E4B" w:rsidRDefault="003A7E4B"/>
    <w:tbl>
      <w:tblPr>
        <w:tblStyle w:val="a0"/>
        <w:tblW w:w="9644" w:type="dxa"/>
        <w:tblInd w:w="-5" w:type="dxa"/>
        <w:tblLayout w:type="fixed"/>
        <w:tblLook w:val="0400" w:firstRow="0" w:lastRow="0" w:firstColumn="0" w:lastColumn="0" w:noHBand="0" w:noVBand="1"/>
      </w:tblPr>
      <w:tblGrid>
        <w:gridCol w:w="2800"/>
        <w:gridCol w:w="6844"/>
      </w:tblGrid>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Název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Zajištění nabídky průmyslových ploch typu </w:t>
            </w:r>
            <w:proofErr w:type="spellStart"/>
            <w:r>
              <w:rPr>
                <w:b/>
              </w:rPr>
              <w:t>greenfield</w:t>
            </w:r>
            <w:proofErr w:type="spellEnd"/>
            <w:r>
              <w:rPr>
                <w:b/>
              </w:rPr>
              <w:t xml:space="preserve"> </w:t>
            </w:r>
            <w:r>
              <w:rPr>
                <w:b/>
                <w:i/>
              </w:rPr>
              <w:t>a zlepšování kvality a využitelnosti stávajících průmyslových zón</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Zdůvodnění a popis programu</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120" w:line="240" w:lineRule="auto"/>
            </w:pPr>
            <w:r>
              <w:t xml:space="preserve">V současné době panuje značný společenský konsensus o potřebě zaměřit veřejné politiky podpory podnikatelských nemovitostí prioritně na objekty a areály typu </w:t>
            </w:r>
            <w:proofErr w:type="spellStart"/>
            <w:r>
              <w:t>brownfield</w:t>
            </w:r>
            <w:proofErr w:type="spellEnd"/>
            <w:r>
              <w:t xml:space="preserve">. Toto je opodstatněný a v zásadě pozitivní trend, který má však vedlejší efekt v podobě odporu vůči projektům přípravy zón typu </w:t>
            </w:r>
            <w:proofErr w:type="spellStart"/>
            <w:r>
              <w:t>greenfield</w:t>
            </w:r>
            <w:proofErr w:type="spellEnd"/>
            <w:r>
              <w:t xml:space="preserve">, a také samotným projektům investic na těchto zónách. </w:t>
            </w:r>
          </w:p>
          <w:p w:rsidR="003A7E4B" w:rsidRDefault="009D0768">
            <w:pPr>
              <w:spacing w:after="120" w:line="240" w:lineRule="auto"/>
            </w:pPr>
            <w:r>
              <w:t xml:space="preserve">Odpor se projevuje obstrukčním chováním nejrůznějších spontánních i vysoce profesionalizovaných iniciativ, ale také velmi </w:t>
            </w:r>
            <w:proofErr w:type="spellStart"/>
            <w:r>
              <w:t>zbyrokratizovým</w:t>
            </w:r>
            <w:proofErr w:type="spellEnd"/>
            <w:r>
              <w:t xml:space="preserve"> a zdlouhavým přístupem správních orgánů v celém procesu přípravy, posuzování a schvalování přípravy ploch a investování na plochách typu </w:t>
            </w:r>
            <w:proofErr w:type="spellStart"/>
            <w:r>
              <w:t>greenfield</w:t>
            </w:r>
            <w:proofErr w:type="spellEnd"/>
            <w:r>
              <w:t>. Závažným důsledkem je omezení konkurenceschopnosti ČR vůči řadě zemí v regionu.</w:t>
            </w:r>
          </w:p>
          <w:p w:rsidR="003A7E4B" w:rsidRDefault="009D0768">
            <w:pPr>
              <w:spacing w:after="120" w:line="240" w:lineRule="auto"/>
            </w:pPr>
            <w:r>
              <w:t xml:space="preserve">V řadě případů a lokalit však nejsou k dispozici vhodné a dostatečně připravené plochy </w:t>
            </w:r>
            <w:proofErr w:type="spellStart"/>
            <w:r>
              <w:t>brownfieldů</w:t>
            </w:r>
            <w:proofErr w:type="spellEnd"/>
            <w:r>
              <w:t xml:space="preserve"> a příprava ploch typu </w:t>
            </w:r>
            <w:proofErr w:type="spellStart"/>
            <w:r>
              <w:t>greenfield</w:t>
            </w:r>
            <w:proofErr w:type="spellEnd"/>
            <w:r>
              <w:t xml:space="preserve"> představuje jediné dostupné řešení pro lokalizaci nových investic. V potaz by měla být brána i finanční a ekonomická stránka, kdy jednotkové náklady na přípravu ploch typu </w:t>
            </w:r>
            <w:proofErr w:type="spellStart"/>
            <w:r>
              <w:t>brownfield</w:t>
            </w:r>
            <w:proofErr w:type="spellEnd"/>
            <w:r>
              <w:t xml:space="preserve"> mnohonásobně překračují řešení na </w:t>
            </w:r>
            <w:proofErr w:type="spellStart"/>
            <w:r>
              <w:t>greenfieldech</w:t>
            </w:r>
            <w:proofErr w:type="spellEnd"/>
            <w:r>
              <w:t>.</w:t>
            </w:r>
          </w:p>
          <w:p w:rsidR="003A7E4B" w:rsidRDefault="009D0768">
            <w:pPr>
              <w:spacing w:after="120" w:line="240" w:lineRule="auto"/>
            </w:pPr>
            <w:r>
              <w:t xml:space="preserve">Dalším problémem, na který chce toto opatření reagovat, je potřeba zkvalitnění, doplnění infrastruktury na stávajících průmyslových zónách a řadě případů i jejich rozšíření. Tento se týká především průmyslových zón, které vznikly v letech 1998 až 2005 a jsou již převážně obsazené. U řady z nich však přetrvávají deficity ve vybavení infrastrukturou, na které si stěžují lokalizované firmy a uvádějí je, jako překážky svých expanzí a funkčního </w:t>
            </w:r>
            <w:proofErr w:type="spellStart"/>
            <w:r>
              <w:t>upgradingu</w:t>
            </w:r>
            <w:proofErr w:type="spellEnd"/>
            <w:r>
              <w:t>. U řady zón by bylo doplněním či zkvalitněním infrastruktury možné získat nové plochy pro další investice</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rsidP="00377013">
            <w:pPr>
              <w:spacing w:after="0" w:line="240" w:lineRule="auto"/>
            </w:pPr>
            <w:r>
              <w:rPr>
                <w:b/>
              </w:rPr>
              <w:t xml:space="preserve">Odpovědnost za realizaci = nositel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proofErr w:type="spellStart"/>
            <w:r>
              <w:rPr>
                <w:i/>
              </w:rPr>
              <w:t>CzechInvest</w:t>
            </w:r>
            <w:proofErr w:type="spellEnd"/>
          </w:p>
          <w:p w:rsidR="003A7E4B" w:rsidRDefault="009D0768">
            <w:pPr>
              <w:spacing w:after="0" w:line="240" w:lineRule="auto"/>
            </w:pPr>
            <w:r>
              <w:rPr>
                <w:i/>
              </w:rPr>
              <w:t>Města, obce</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Rozpočet pro realizaci opatření (odhad)</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 xml:space="preserve">?? </w:t>
            </w:r>
            <w:proofErr w:type="gramStart"/>
            <w:r>
              <w:rPr>
                <w:i/>
              </w:rPr>
              <w:t>mil.</w:t>
            </w:r>
            <w:proofErr w:type="gramEnd"/>
            <w:r>
              <w:rPr>
                <w:i/>
              </w:rPr>
              <w:t xml:space="preserve"> Kč </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Přepokládané zdroje financování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Státní rozpočet</w:t>
            </w:r>
          </w:p>
          <w:p w:rsidR="003A7E4B" w:rsidRDefault="009D0768">
            <w:pPr>
              <w:spacing w:after="0" w:line="240" w:lineRule="auto"/>
            </w:pPr>
            <w:r>
              <w:rPr>
                <w:i/>
              </w:rPr>
              <w:t>Rozpočty obcí</w:t>
            </w:r>
          </w:p>
        </w:tc>
      </w:tr>
    </w:tbl>
    <w:p w:rsidR="003A7E4B" w:rsidRDefault="003A7E4B"/>
    <w:tbl>
      <w:tblPr>
        <w:tblStyle w:val="a1"/>
        <w:tblW w:w="9644" w:type="dxa"/>
        <w:tblInd w:w="-5" w:type="dxa"/>
        <w:tblLayout w:type="fixed"/>
        <w:tblLook w:val="0400" w:firstRow="0" w:lastRow="0" w:firstColumn="0" w:lastColumn="0" w:noHBand="0" w:noVBand="1"/>
      </w:tblPr>
      <w:tblGrid>
        <w:gridCol w:w="2800"/>
        <w:gridCol w:w="6844"/>
      </w:tblGrid>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lastRenderedPageBreak/>
              <w:t xml:space="preserve">Název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b/>
              </w:rPr>
              <w:t>Vzdělávání v oblasti rozvoje místních ekonomik, lákání investic a podpory podnikání</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Zdůvodnění a popis programu</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120" w:line="240" w:lineRule="auto"/>
            </w:pPr>
            <w:r>
              <w:t xml:space="preserve">V uplynulých cca 10 letech se aktivita krajských a místních samospráv významně soustředila na přípravu projektů pro čerpání dotací z fondů EU, ve značné míře projektů zkvalitnění a doplnění technické, dopravní a sociální infrastruktury a na rozvoj nejrůznějších </w:t>
            </w:r>
            <w:proofErr w:type="spellStart"/>
            <w:r>
              <w:t>amenit</w:t>
            </w:r>
            <w:proofErr w:type="spellEnd"/>
            <w:r>
              <w:t>. Byl to vzhledem k dostupnosti zdrojů a často naléhavé potřebě investic do infrastruktur logický posun. Tomuto zaměření se přizpůsobily odborné kapacity úřadů a také formální i faktické priority volených orgánů obcí a krajů.</w:t>
            </w:r>
          </w:p>
          <w:p w:rsidR="003A7E4B" w:rsidRDefault="009D0768">
            <w:pPr>
              <w:spacing w:after="120" w:line="240" w:lineRule="auto"/>
            </w:pPr>
            <w:r>
              <w:t>Nechtěným důsledkem tohoto soustředění na dotační agendu, byla postupná ztráta odborných kompetencí v oblastech ekonomického rozvoje, teritoriální konkurenceschopnosti, lákání investic a podpory podnikání. Tyto oblasti přestaly (i v souvislosti s relativně uspokojivým výkonem reálné ekonomiky, přílivem investic a tvorbou nových pracovních míst) být politickou prioritou, resp. podpora ekonomického rozvoje volenými reprezentacemi je často omezena na proklamace, které zpravidla nejsou podpořeny praktickými kroky. Paralelní jevem bylo rozšíření „dotační mentality“, kdy veřejný sektor neumí reagovat na potřebu řešit problémy jinak, než pomocí dotací.</w:t>
            </w:r>
          </w:p>
          <w:p w:rsidR="003A7E4B" w:rsidRDefault="009D0768">
            <w:pPr>
              <w:spacing w:after="120" w:line="240" w:lineRule="auto"/>
            </w:pPr>
            <w:r>
              <w:t>Vzhledem ke změnám, kterým budou místní a regionální ekonomiky čelit v nadcházejících letech, ukončení masivních dotačních programů financovaných EU a k ambici zásadním způsobem restrukturalizovat ekonomiky postižených krajů, je kriticky důležité dosáhnout dvou zásadních „vnitřních“ změn: (1) zvýšit míru porozumění procesů ekonomického rozvoje volenými reprezentacemi a vrátit agendám ekonomického rozvoje a lákání investic postavení reálné politické priority a (2) posílit odbornou kapacitu městský a krajských úřadů v uvedených oblastech.</w:t>
            </w:r>
          </w:p>
          <w:p w:rsidR="003A7E4B" w:rsidRDefault="009D0768">
            <w:pPr>
              <w:spacing w:after="120" w:line="240" w:lineRule="auto"/>
            </w:pPr>
            <w:r>
              <w:t>Program má inspirovat, iniciovat a podpořit vznik „Krajských investičních aliancí“, které budou koordinovat činnost volených orgánů v oblasti ekonomického rozvoje a lákání investic, zlepšování podnikatelského a investičního prostředí v krajích a spolupráci s odpovídajícími partnery na regionální a národní úrovni. Součástí bude propagace ekonomického rozvoje a lákání investic mezi volenými představiteli.</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Odpovědnost za realizaci = nositel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proofErr w:type="spellStart"/>
            <w:r>
              <w:t>CzechInvest</w:t>
            </w:r>
            <w:proofErr w:type="spellEnd"/>
          </w:p>
          <w:p w:rsidR="003A7E4B" w:rsidRDefault="009D0768">
            <w:pPr>
              <w:spacing w:after="0" w:line="240" w:lineRule="auto"/>
            </w:pPr>
            <w:r>
              <w:t>Kraje</w:t>
            </w:r>
          </w:p>
          <w:p w:rsidR="003A7E4B" w:rsidRDefault="009D0768">
            <w:pPr>
              <w:spacing w:after="0" w:line="240" w:lineRule="auto"/>
            </w:pPr>
            <w:r>
              <w:t>Města, obce</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Rozpočet pro realizaci opatření (odhad)</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t>20 mil. Kč</w:t>
            </w:r>
          </w:p>
        </w:tc>
      </w:tr>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Přepokládané zdroje financování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t>Státní rozpočet</w:t>
            </w:r>
          </w:p>
          <w:p w:rsidR="003A7E4B" w:rsidRDefault="009D0768">
            <w:pPr>
              <w:spacing w:after="0" w:line="240" w:lineRule="auto"/>
            </w:pPr>
            <w:r>
              <w:t>Rozpočty obcí</w:t>
            </w:r>
          </w:p>
        </w:tc>
      </w:tr>
    </w:tbl>
    <w:p w:rsidR="003A7E4B" w:rsidRDefault="003A7E4B"/>
    <w:tbl>
      <w:tblPr>
        <w:tblStyle w:val="a2"/>
        <w:tblW w:w="9644" w:type="dxa"/>
        <w:tblInd w:w="-5" w:type="dxa"/>
        <w:tblLayout w:type="fixed"/>
        <w:tblLook w:val="0400" w:firstRow="0" w:lastRow="0" w:firstColumn="0" w:lastColumn="0" w:noHBand="0" w:noVBand="1"/>
      </w:tblPr>
      <w:tblGrid>
        <w:gridCol w:w="2800"/>
        <w:gridCol w:w="6844"/>
      </w:tblGrid>
      <w:tr w:rsidR="003A7E4B">
        <w:trPr>
          <w:trHeight w:val="58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Název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Regionální politika </w:t>
            </w:r>
            <w:proofErr w:type="spellStart"/>
            <w:r>
              <w:rPr>
                <w:b/>
              </w:rPr>
              <w:t>Aftercare</w:t>
            </w:r>
            <w:proofErr w:type="spellEnd"/>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Zdůvodnění a popis programu</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120" w:line="240" w:lineRule="auto"/>
            </w:pPr>
            <w:r>
              <w:t>Obsahem opatření bude vytvoření regionálního systému následné péče o investory „</w:t>
            </w:r>
            <w:proofErr w:type="spellStart"/>
            <w:r>
              <w:t>Aftercare</w:t>
            </w:r>
            <w:proofErr w:type="spellEnd"/>
            <w:r>
              <w:t xml:space="preserve">, který bude vystavěn na spolupráci agentury </w:t>
            </w:r>
            <w:proofErr w:type="spellStart"/>
            <w:r>
              <w:t>CzechInvest</w:t>
            </w:r>
            <w:proofErr w:type="spellEnd"/>
            <w:r>
              <w:t xml:space="preserve">, orgánů krajské samosprávy (či organizace pověřené krajskou samosprávou) a vybraných měst kraje. Půjde o založení pravidelné </w:t>
            </w:r>
            <w:r>
              <w:lastRenderedPageBreak/>
              <w:t xml:space="preserve">komunikace mezi veřejným sektorem a klíčovými podniky / investory v kraji jak na úrovni vrcholového managementu, tak na úrovni operativních kontaktů. Opatření bude řešit rozdělení rolí v systému </w:t>
            </w:r>
            <w:proofErr w:type="spellStart"/>
            <w:r>
              <w:t>Aftercare</w:t>
            </w:r>
            <w:proofErr w:type="spellEnd"/>
            <w:r>
              <w:t>, koordinaci zapojených partnerů, vyhodnocování zpětné vazby od podniků a pružnou reakci na nejdůležitější informace a analytické závěry.</w:t>
            </w:r>
          </w:p>
          <w:p w:rsidR="003A7E4B" w:rsidRDefault="009D0768">
            <w:pPr>
              <w:spacing w:after="120" w:line="240" w:lineRule="auto"/>
            </w:pPr>
            <w:r>
              <w:t xml:space="preserve">Lze předpokládat, že opatření bude mít podporu agentury </w:t>
            </w:r>
            <w:proofErr w:type="spellStart"/>
            <w:r>
              <w:t>CzechInvest</w:t>
            </w:r>
            <w:proofErr w:type="spellEnd"/>
            <w:r>
              <w:t xml:space="preserve">, její ochotu ujmout se koordinační role a části agendy </w:t>
            </w:r>
            <w:proofErr w:type="spellStart"/>
            <w:r>
              <w:t>Aftercare</w:t>
            </w:r>
            <w:proofErr w:type="spellEnd"/>
            <w:r>
              <w:t xml:space="preserve"> týkající se nejvýznamnějších strategických investorů v regionu, může však být limitována lidskými a finančními zdroji. U krajské samosprávy a měst může opatření získat verbální podporu, která však nebude provázena praktickými kroky, případně narazit na úplný nezájem. Nutnost vyčlenit na </w:t>
            </w:r>
            <w:proofErr w:type="spellStart"/>
            <w:r>
              <w:t>Aftercare</w:t>
            </w:r>
            <w:proofErr w:type="spellEnd"/>
            <w:r>
              <w:t xml:space="preserve"> finanční a lidské zdroje může být rovněž problémem.</w:t>
            </w:r>
          </w:p>
          <w:p w:rsidR="003A7E4B" w:rsidRDefault="009D0768">
            <w:pPr>
              <w:spacing w:after="120" w:line="240" w:lineRule="auto"/>
            </w:pPr>
            <w:r>
              <w:t xml:space="preserve">Velmi rychle lze navázat na aktivity, které jsou v současné době vykonávány agenturou </w:t>
            </w:r>
            <w:proofErr w:type="spellStart"/>
            <w:r>
              <w:t>CzechInvest</w:t>
            </w:r>
            <w:proofErr w:type="spellEnd"/>
            <w:r>
              <w:t xml:space="preserve"> a zapojit krajské organizace a města, které jsou v oblasti práce s investory aktivní. Dále bude doplněna metodika a koordinace krajské </w:t>
            </w:r>
            <w:proofErr w:type="spellStart"/>
            <w:r>
              <w:t>Aftercare</w:t>
            </w:r>
            <w:proofErr w:type="spellEnd"/>
            <w:r>
              <w:t xml:space="preserve"> a postupně budou zapojováni další partneři.</w:t>
            </w:r>
          </w:p>
          <w:p w:rsidR="003A7E4B" w:rsidRDefault="009D0768">
            <w:pPr>
              <w:spacing w:after="120" w:line="240" w:lineRule="auto"/>
            </w:pPr>
            <w:r>
              <w:t xml:space="preserve">Vzhledem k tomu, že problematika </w:t>
            </w:r>
            <w:proofErr w:type="spellStart"/>
            <w:r>
              <w:t>Aftercare</w:t>
            </w:r>
            <w:proofErr w:type="spellEnd"/>
            <w:r>
              <w:t xml:space="preserve"> na krajské a místní úrovni je podceňována, předpokládáme, že založená systematické komunikace s podniky / investory by mělo mít poměrně rychlé výsledky. Projeví-li veřejný sektor zájem o problémy a zájmy firem, a pokud dokáže pružně reagovat a řešit alespoň některé (snadnější) problémy, na které poukáží, může být odezva podnikové sféry až překvapivě pozitivní.</w:t>
            </w:r>
          </w:p>
          <w:p w:rsidR="003A7E4B" w:rsidRDefault="009D0768">
            <w:pPr>
              <w:spacing w:after="120" w:line="240" w:lineRule="auto"/>
            </w:pPr>
            <w:r>
              <w:t>Dojde k rozdělení rolí (</w:t>
            </w:r>
            <w:proofErr w:type="spellStart"/>
            <w:r>
              <w:t>CzechInvest</w:t>
            </w:r>
            <w:proofErr w:type="spellEnd"/>
            <w:r>
              <w:t xml:space="preserve"> - Kraj - Města) a koordinaci při realizaci služeb </w:t>
            </w:r>
            <w:proofErr w:type="spellStart"/>
            <w:r>
              <w:t>Aftercare</w:t>
            </w:r>
            <w:proofErr w:type="spellEnd"/>
            <w:r>
              <w:t xml:space="preserve">. </w:t>
            </w:r>
          </w:p>
          <w:p w:rsidR="003A7E4B" w:rsidRDefault="009D0768">
            <w:pPr>
              <w:spacing w:after="120" w:line="240" w:lineRule="auto"/>
            </w:pPr>
            <w:r>
              <w:t xml:space="preserve">Dojde ke zvýšení kapacit </w:t>
            </w:r>
            <w:proofErr w:type="spellStart"/>
            <w:r>
              <w:t>aftercare</w:t>
            </w:r>
            <w:proofErr w:type="spellEnd"/>
            <w:r>
              <w:t xml:space="preserve"> zapojením kraje a měst (v současnosti 1-2 pracovníci krajských poboček CI).</w:t>
            </w:r>
          </w:p>
          <w:p w:rsidR="003A7E4B" w:rsidRDefault="009D0768">
            <w:pPr>
              <w:spacing w:after="120" w:line="240" w:lineRule="auto"/>
            </w:pPr>
            <w:r>
              <w:t>Dojde k výraznému zlepšení komunikace podniků / investorů s veřejným sektorem a ke zvýšení profesionální úrovně této komunikace.</w:t>
            </w:r>
          </w:p>
          <w:p w:rsidR="003A7E4B" w:rsidRDefault="009D0768">
            <w:pPr>
              <w:spacing w:after="120" w:line="240" w:lineRule="auto"/>
            </w:pPr>
            <w:r>
              <w:t>Veřejný sektor získá více kvalitních informací z podnikové sféry, a to jak o obecných podmínkách pro podnikání v kraji, tak o konkrétních, "horkých" problémech či příležitostech, na které může pružně reagovat.</w:t>
            </w:r>
          </w:p>
          <w:p w:rsidR="003A7E4B" w:rsidRDefault="009D0768">
            <w:pPr>
              <w:spacing w:after="120" w:line="240" w:lineRule="auto"/>
            </w:pPr>
            <w:r>
              <w:t xml:space="preserve">Fungující systém </w:t>
            </w:r>
            <w:proofErr w:type="spellStart"/>
            <w:r>
              <w:t>Aftercare</w:t>
            </w:r>
            <w:proofErr w:type="spellEnd"/>
            <w:r>
              <w:t xml:space="preserve"> bude prevencí omezení produkce, či úplného odchodu podniků / investorů z kraje (retence firem) a také bude zvyšovat pravděpodobnost a podporovat expanze podniků / investorů v kraji již lokalizovaných.</w:t>
            </w:r>
          </w:p>
          <w:p w:rsidR="003A7E4B" w:rsidRDefault="009D0768">
            <w:pPr>
              <w:spacing w:line="240" w:lineRule="auto"/>
            </w:pPr>
            <w:r>
              <w:t xml:space="preserve">Speciální důraz bude kladen na podporu funkčního </w:t>
            </w:r>
            <w:proofErr w:type="spellStart"/>
            <w:r>
              <w:t>upgradingu</w:t>
            </w:r>
            <w:proofErr w:type="spellEnd"/>
            <w:r>
              <w:t xml:space="preserve"> existujících firem, pro který je kvalitní </w:t>
            </w:r>
            <w:proofErr w:type="spellStart"/>
            <w:r>
              <w:t>Aftercare</w:t>
            </w:r>
            <w:proofErr w:type="spellEnd"/>
            <w:r>
              <w:t xml:space="preserve"> mimořádně důležitý.</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rsidP="00377013">
            <w:pPr>
              <w:spacing w:after="0" w:line="240" w:lineRule="auto"/>
            </w:pPr>
            <w:r>
              <w:rPr>
                <w:b/>
              </w:rPr>
              <w:lastRenderedPageBreak/>
              <w:t xml:space="preserve">Odpovědnost za realizaci = nositel opatření/programu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proofErr w:type="spellStart"/>
            <w:r>
              <w:rPr>
                <w:i/>
              </w:rPr>
              <w:t>CzechInvest</w:t>
            </w:r>
            <w:proofErr w:type="spellEnd"/>
          </w:p>
          <w:p w:rsidR="003A7E4B" w:rsidRDefault="009D0768">
            <w:pPr>
              <w:spacing w:after="0" w:line="240" w:lineRule="auto"/>
            </w:pPr>
            <w:r>
              <w:rPr>
                <w:i/>
              </w:rPr>
              <w:t>Kraje, města, organizace pověřené péčí o investory v krajích</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Rozpočet pro realizaci opatření (odhad)</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5 mil. Kč</w:t>
            </w:r>
          </w:p>
        </w:tc>
      </w:tr>
      <w:tr w:rsidR="003A7E4B">
        <w:trPr>
          <w:trHeight w:val="300"/>
        </w:trPr>
        <w:tc>
          <w:tcPr>
            <w:tcW w:w="28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A7E4B" w:rsidRDefault="009D0768">
            <w:pPr>
              <w:spacing w:after="0" w:line="240" w:lineRule="auto"/>
            </w:pPr>
            <w:r>
              <w:rPr>
                <w:b/>
              </w:rPr>
              <w:t xml:space="preserve">Přepokládané zdroje financování </w:t>
            </w:r>
          </w:p>
        </w:tc>
        <w:tc>
          <w:tcPr>
            <w:tcW w:w="6844" w:type="dxa"/>
            <w:tcBorders>
              <w:top w:val="single" w:sz="4" w:space="0" w:color="000000"/>
              <w:left w:val="nil"/>
              <w:bottom w:val="single" w:sz="4" w:space="0" w:color="000000"/>
              <w:right w:val="single" w:sz="4" w:space="0" w:color="000000"/>
            </w:tcBorders>
            <w:shd w:val="clear" w:color="auto" w:fill="FFFFFF"/>
            <w:vAlign w:val="center"/>
          </w:tcPr>
          <w:p w:rsidR="003A7E4B" w:rsidRDefault="009D0768">
            <w:pPr>
              <w:spacing w:after="0" w:line="240" w:lineRule="auto"/>
            </w:pPr>
            <w:r>
              <w:rPr>
                <w:i/>
              </w:rPr>
              <w:t>Státní rozpočet</w:t>
            </w:r>
          </w:p>
          <w:p w:rsidR="003A7E4B" w:rsidRDefault="009D0768">
            <w:pPr>
              <w:spacing w:after="0" w:line="240" w:lineRule="auto"/>
            </w:pPr>
            <w:r>
              <w:rPr>
                <w:i/>
              </w:rPr>
              <w:t>Krajské rozpočty</w:t>
            </w:r>
          </w:p>
          <w:p w:rsidR="003A7E4B" w:rsidRDefault="009D0768">
            <w:pPr>
              <w:spacing w:after="0" w:line="240" w:lineRule="auto"/>
            </w:pPr>
            <w:r>
              <w:rPr>
                <w:i/>
              </w:rPr>
              <w:t>Rozpočty měst</w:t>
            </w:r>
          </w:p>
        </w:tc>
      </w:tr>
    </w:tbl>
    <w:p w:rsidR="003A7E4B" w:rsidRDefault="003A7E4B"/>
    <w:p w:rsidR="003A7E4B" w:rsidRDefault="003A7E4B"/>
    <w:sectPr w:rsidR="003A7E4B">
      <w:headerReference w:type="default" r:id="rId6"/>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200" w:rsidRDefault="00EC2200" w:rsidP="00EC2200">
      <w:pPr>
        <w:spacing w:after="0" w:line="240" w:lineRule="auto"/>
      </w:pPr>
      <w:r>
        <w:separator/>
      </w:r>
    </w:p>
  </w:endnote>
  <w:endnote w:type="continuationSeparator" w:id="0">
    <w:p w:rsidR="00EC2200" w:rsidRDefault="00EC2200" w:rsidP="00EC2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200" w:rsidRDefault="00EC2200" w:rsidP="00EC2200">
      <w:pPr>
        <w:spacing w:after="0" w:line="240" w:lineRule="auto"/>
      </w:pPr>
      <w:r>
        <w:separator/>
      </w:r>
    </w:p>
  </w:footnote>
  <w:footnote w:type="continuationSeparator" w:id="0">
    <w:p w:rsidR="00EC2200" w:rsidRDefault="00EC2200" w:rsidP="00EC22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200" w:rsidRDefault="00EC2200" w:rsidP="00EC2200">
    <w:pPr>
      <w:pStyle w:val="Zhlav"/>
      <w:jc w:val="right"/>
    </w:pPr>
  </w:p>
  <w:p w:rsidR="00EC2200" w:rsidRPr="00EC2200" w:rsidRDefault="00EC2200" w:rsidP="00EC2200">
    <w:pPr>
      <w:pStyle w:val="Zhlav"/>
      <w:jc w:val="right"/>
      <w:rPr>
        <w:b/>
        <w:sz w:val="52"/>
        <w:szCs w:val="52"/>
      </w:rPr>
    </w:pPr>
    <w:r w:rsidRPr="00EC2200">
      <w:rPr>
        <w:b/>
        <w:sz w:val="52"/>
        <w:szCs w:val="52"/>
      </w:rPr>
      <w:t>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A7E4B"/>
    <w:rsid w:val="00377013"/>
    <w:rsid w:val="003A7E4B"/>
    <w:rsid w:val="006F64B5"/>
    <w:rsid w:val="009D0768"/>
    <w:rsid w:val="00EC22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12C87A-9632-40EB-91CF-FD4AAB07A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cs-CZ" w:eastAsia="cs-CZ"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paragraph" w:styleId="Zhlav">
    <w:name w:val="header"/>
    <w:basedOn w:val="Normln"/>
    <w:link w:val="ZhlavChar"/>
    <w:uiPriority w:val="99"/>
    <w:unhideWhenUsed/>
    <w:rsid w:val="00EC2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C2200"/>
  </w:style>
  <w:style w:type="paragraph" w:styleId="Zpat">
    <w:name w:val="footer"/>
    <w:basedOn w:val="Normln"/>
    <w:link w:val="ZpatChar"/>
    <w:uiPriority w:val="99"/>
    <w:unhideWhenUsed/>
    <w:rsid w:val="00EC2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EC2200"/>
  </w:style>
  <w:style w:type="paragraph" w:styleId="Textbubliny">
    <w:name w:val="Balloon Text"/>
    <w:basedOn w:val="Normln"/>
    <w:link w:val="TextbublinyChar"/>
    <w:uiPriority w:val="99"/>
    <w:semiHidden/>
    <w:unhideWhenUsed/>
    <w:rsid w:val="00EC22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22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1575</Words>
  <Characters>9297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Czechinvest</Company>
  <LinksUpToDate>false</LinksUpToDate>
  <CharactersWithSpaces>10851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jelena.kriegelsteinova</cp:lastModifiedBy>
  <cp:revision>2</cp:revision>
  <cp:lastPrinted>2017-03-06T08:09:00Z</cp:lastPrinted>
  <dcterms:created xsi:type="dcterms:W3CDTF">2017-03-06T08:09:00Z</dcterms:created>
  <dcterms:modified xsi:type="dcterms:W3CDTF">2017-03-06T08:09:00Z</dcterms:modified>
</cp:coreProperties>
</file>