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0CCC62" w14:textId="4303EC34" w:rsidR="00DA67AB" w:rsidRPr="00E87A1F" w:rsidRDefault="00DA67AB" w:rsidP="00567B6A">
      <w:pPr>
        <w:rPr>
          <w:b/>
          <w:sz w:val="28"/>
          <w:szCs w:val="28"/>
        </w:rPr>
      </w:pPr>
      <w:r w:rsidRPr="00E87A1F">
        <w:rPr>
          <w:sz w:val="28"/>
          <w:szCs w:val="28"/>
        </w:rPr>
        <w:t>Stručný</w:t>
      </w:r>
      <w:r w:rsidR="00D6226A" w:rsidRPr="00E87A1F">
        <w:rPr>
          <w:sz w:val="28"/>
          <w:szCs w:val="28"/>
        </w:rPr>
        <w:t xml:space="preserve"> pracovní</w:t>
      </w:r>
      <w:r w:rsidRPr="00E87A1F">
        <w:rPr>
          <w:sz w:val="28"/>
          <w:szCs w:val="28"/>
        </w:rPr>
        <w:t xml:space="preserve"> popis opatření </w:t>
      </w:r>
      <w:r w:rsidR="00173278" w:rsidRPr="00E87A1F">
        <w:rPr>
          <w:sz w:val="28"/>
          <w:szCs w:val="28"/>
        </w:rPr>
        <w:t>pilíř</w:t>
      </w:r>
      <w:r w:rsidR="0096124B" w:rsidRPr="00E87A1F">
        <w:rPr>
          <w:sz w:val="28"/>
          <w:szCs w:val="28"/>
        </w:rPr>
        <w:t>e</w:t>
      </w:r>
      <w:r w:rsidR="009643E5" w:rsidRPr="00E87A1F">
        <w:rPr>
          <w:b/>
          <w:sz w:val="28"/>
          <w:szCs w:val="28"/>
        </w:rPr>
        <w:t xml:space="preserve"> F</w:t>
      </w:r>
      <w:r w:rsidR="00EA1E5E" w:rsidRPr="00E87A1F">
        <w:rPr>
          <w:b/>
          <w:sz w:val="28"/>
          <w:szCs w:val="28"/>
        </w:rPr>
        <w:t xml:space="preserve"> </w:t>
      </w:r>
      <w:r w:rsidR="00C24EF8" w:rsidRPr="00E87A1F">
        <w:rPr>
          <w:b/>
          <w:sz w:val="28"/>
          <w:szCs w:val="28"/>
        </w:rPr>
        <w:t xml:space="preserve">– </w:t>
      </w:r>
      <w:r w:rsidR="00567B6A" w:rsidRPr="00E87A1F">
        <w:rPr>
          <w:b/>
          <w:sz w:val="28"/>
          <w:szCs w:val="28"/>
        </w:rPr>
        <w:t>Životní prostředí</w:t>
      </w:r>
      <w:bookmarkStart w:id="0" w:name="_GoBack"/>
      <w:bookmarkEnd w:id="0"/>
    </w:p>
    <w:p w14:paraId="2F7D1473" w14:textId="7F7E8821" w:rsidR="00716FA4" w:rsidRPr="00A86945" w:rsidRDefault="00EA1E5E">
      <w:pPr>
        <w:rPr>
          <w:i/>
        </w:rPr>
      </w:pPr>
      <w:r>
        <w:t>Nadregionální opatření:</w:t>
      </w:r>
    </w:p>
    <w:tbl>
      <w:tblPr>
        <w:tblW w:w="9578" w:type="dxa"/>
        <w:tblInd w:w="65" w:type="dxa"/>
        <w:tblCellMar>
          <w:left w:w="70" w:type="dxa"/>
          <w:right w:w="70" w:type="dxa"/>
        </w:tblCellMar>
        <w:tblLook w:val="04A0" w:firstRow="1" w:lastRow="0" w:firstColumn="1" w:lastColumn="0" w:noHBand="0" w:noVBand="1"/>
      </w:tblPr>
      <w:tblGrid>
        <w:gridCol w:w="2800"/>
        <w:gridCol w:w="6778"/>
      </w:tblGrid>
      <w:tr w:rsidR="008F6BBD" w:rsidRPr="00DA67AB" w14:paraId="133FA2C2" w14:textId="77777777" w:rsidTr="00102FBF">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64755" w14:textId="77777777" w:rsidR="008F6BBD" w:rsidRPr="00DA67AB" w:rsidRDefault="008F6BBD" w:rsidP="00AA2C5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78" w:type="dxa"/>
            <w:tcBorders>
              <w:top w:val="single" w:sz="4" w:space="0" w:color="auto"/>
              <w:left w:val="nil"/>
              <w:bottom w:val="single" w:sz="4" w:space="0" w:color="auto"/>
              <w:right w:val="single" w:sz="4" w:space="0" w:color="auto"/>
            </w:tcBorders>
            <w:shd w:val="clear" w:color="auto" w:fill="auto"/>
            <w:noWrap/>
            <w:vAlign w:val="center"/>
          </w:tcPr>
          <w:p w14:paraId="766B739F" w14:textId="47DF814B" w:rsidR="008F6BBD" w:rsidRPr="001E5ED6" w:rsidRDefault="00A86945" w:rsidP="001E5ED6">
            <w:pPr>
              <w:spacing w:after="0" w:line="240" w:lineRule="auto"/>
              <w:rPr>
                <w:b/>
                <w:i/>
              </w:rPr>
            </w:pPr>
            <w:r w:rsidRPr="00A86945">
              <w:rPr>
                <w:b/>
              </w:rPr>
              <w:t>Akcelerace čerpání a navýšení alokace programu řešení ekologických škod dle UV č. 50/2002 (tzv. 15 mld.)</w:t>
            </w:r>
          </w:p>
        </w:tc>
      </w:tr>
      <w:tr w:rsidR="00A86945" w:rsidRPr="00DA67AB" w14:paraId="7A583966" w14:textId="77777777" w:rsidTr="00102FBF">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3BA08" w14:textId="77777777" w:rsidR="00A86945" w:rsidRPr="00DA67AB" w:rsidRDefault="00A86945" w:rsidP="00A86945">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78" w:type="dxa"/>
            <w:tcBorders>
              <w:top w:val="single" w:sz="4" w:space="0" w:color="auto"/>
              <w:left w:val="nil"/>
              <w:bottom w:val="single" w:sz="4" w:space="0" w:color="auto"/>
              <w:right w:val="single" w:sz="4" w:space="0" w:color="auto"/>
            </w:tcBorders>
            <w:shd w:val="clear" w:color="auto" w:fill="auto"/>
            <w:noWrap/>
            <w:vAlign w:val="center"/>
          </w:tcPr>
          <w:p w14:paraId="5B62735A" w14:textId="77777777" w:rsidR="00A86945" w:rsidRPr="00A86945" w:rsidRDefault="00A86945" w:rsidP="00A86945">
            <w:pPr>
              <w:spacing w:after="60" w:line="240" w:lineRule="auto"/>
              <w:jc w:val="both"/>
              <w:rPr>
                <w:rFonts w:eastAsia="Times New Roman"/>
                <w:iCs/>
                <w:color w:val="000000"/>
                <w:szCs w:val="24"/>
                <w:lang w:eastAsia="cs-CZ"/>
              </w:rPr>
            </w:pPr>
            <w:r w:rsidRPr="00A86945">
              <w:rPr>
                <w:rFonts w:eastAsia="Times New Roman"/>
                <w:iCs/>
                <w:color w:val="000000"/>
                <w:szCs w:val="24"/>
                <w:lang w:eastAsia="cs-CZ"/>
              </w:rPr>
              <w:t>V rámci privatizace těžebních podniků převzaly společnosti od státu nejen těžební lokality, ale i rozsáhlá území určená k ekologické revitalizaci, na kterou nebyla vytvořena potřebná finanční reserva. Tuto reservu si těžební společnosti povinně vytvářejí až od roku 1994 na základě novely horního zákona č. 168/1993. Proto vláda schválila finanční intervenci státu v oblasti ekologické a částečně hospodářské revitalizace regionů.</w:t>
            </w:r>
          </w:p>
          <w:p w14:paraId="6AF03835" w14:textId="77777777" w:rsidR="00A86945" w:rsidRPr="00A86945" w:rsidRDefault="00A86945" w:rsidP="00A86945">
            <w:pPr>
              <w:spacing w:after="60" w:line="240" w:lineRule="auto"/>
              <w:jc w:val="both"/>
              <w:rPr>
                <w:rFonts w:eastAsia="Times New Roman"/>
                <w:b/>
                <w:iCs/>
                <w:color w:val="000000"/>
                <w:szCs w:val="24"/>
                <w:lang w:eastAsia="cs-CZ"/>
              </w:rPr>
            </w:pPr>
            <w:r w:rsidRPr="00A86945">
              <w:rPr>
                <w:rFonts w:eastAsia="Times New Roman"/>
                <w:b/>
                <w:iCs/>
                <w:color w:val="000000"/>
                <w:szCs w:val="24"/>
                <w:lang w:eastAsia="cs-CZ"/>
              </w:rPr>
              <w:t>Program řešení ekologických škod</w:t>
            </w:r>
            <w:r w:rsidRPr="00A86945">
              <w:rPr>
                <w:rFonts w:eastAsia="Times New Roman"/>
                <w:iCs/>
                <w:color w:val="000000"/>
                <w:szCs w:val="24"/>
                <w:lang w:eastAsia="cs-CZ"/>
              </w:rPr>
              <w:t xml:space="preserve"> vzniklých před privatizací hnědouhelných těžebních společností v Ústeckém a Karlovarském kraji ve výši 15 mld. Kč je realizován od roku 2002 na základě </w:t>
            </w:r>
            <w:r w:rsidRPr="00A86945">
              <w:rPr>
                <w:rFonts w:eastAsia="Times New Roman"/>
                <w:b/>
                <w:iCs/>
                <w:color w:val="000000"/>
                <w:szCs w:val="24"/>
                <w:lang w:eastAsia="cs-CZ"/>
              </w:rPr>
              <w:t>UV č. 50/2002</w:t>
            </w:r>
            <w:r w:rsidRPr="00A86945">
              <w:rPr>
                <w:rFonts w:eastAsia="Times New Roman"/>
                <w:iCs/>
                <w:color w:val="000000"/>
                <w:szCs w:val="24"/>
                <w:lang w:eastAsia="cs-CZ"/>
              </w:rPr>
              <w:t xml:space="preserve"> , </w:t>
            </w:r>
            <w:r w:rsidRPr="00A86945">
              <w:rPr>
                <w:rFonts w:eastAsia="Times New Roman"/>
                <w:b/>
                <w:iCs/>
                <w:color w:val="000000"/>
                <w:szCs w:val="24"/>
                <w:lang w:eastAsia="cs-CZ"/>
              </w:rPr>
              <w:t>UV č. 189/2002</w:t>
            </w:r>
            <w:r w:rsidRPr="00A86945">
              <w:rPr>
                <w:rFonts w:eastAsia="Times New Roman"/>
                <w:iCs/>
                <w:color w:val="000000"/>
                <w:szCs w:val="24"/>
                <w:lang w:eastAsia="cs-CZ"/>
              </w:rPr>
              <w:t xml:space="preserve"> a </w:t>
            </w:r>
            <w:r w:rsidRPr="00A86945">
              <w:rPr>
                <w:rFonts w:eastAsia="Times New Roman"/>
                <w:b/>
                <w:iCs/>
                <w:color w:val="000000"/>
                <w:szCs w:val="24"/>
                <w:lang w:eastAsia="cs-CZ"/>
              </w:rPr>
              <w:t>UV</w:t>
            </w:r>
            <w:r w:rsidRPr="00A86945">
              <w:rPr>
                <w:rFonts w:eastAsia="Times New Roman"/>
                <w:iCs/>
                <w:color w:val="000000"/>
                <w:szCs w:val="24"/>
                <w:lang w:eastAsia="cs-CZ"/>
              </w:rPr>
              <w:t xml:space="preserve"> </w:t>
            </w:r>
            <w:r w:rsidRPr="00A86945">
              <w:rPr>
                <w:rFonts w:eastAsia="Times New Roman"/>
                <w:b/>
                <w:iCs/>
                <w:color w:val="000000"/>
                <w:szCs w:val="24"/>
                <w:lang w:eastAsia="cs-CZ"/>
              </w:rPr>
              <w:t>č. 272/2002.</w:t>
            </w:r>
          </w:p>
          <w:p w14:paraId="1CA93467" w14:textId="77777777" w:rsidR="00A86945" w:rsidRPr="00A86945" w:rsidRDefault="00A86945" w:rsidP="00A86945">
            <w:pPr>
              <w:spacing w:after="60" w:line="240" w:lineRule="auto"/>
              <w:jc w:val="both"/>
              <w:rPr>
                <w:rFonts w:eastAsia="Times New Roman"/>
                <w:iCs/>
                <w:color w:val="000000"/>
                <w:szCs w:val="24"/>
                <w:lang w:eastAsia="cs-CZ"/>
              </w:rPr>
            </w:pPr>
            <w:r w:rsidRPr="00A86945">
              <w:rPr>
                <w:rFonts w:eastAsia="Times New Roman"/>
                <w:iCs/>
                <w:color w:val="000000"/>
                <w:szCs w:val="24"/>
                <w:lang w:eastAsia="cs-CZ"/>
              </w:rPr>
              <w:t>Pravidla čerpání se řídí dle schválené „</w:t>
            </w:r>
            <w:r w:rsidRPr="00A86945">
              <w:rPr>
                <w:rFonts w:eastAsia="Times New Roman"/>
                <w:b/>
                <w:iCs/>
                <w:color w:val="000000"/>
                <w:szCs w:val="24"/>
                <w:lang w:eastAsia="cs-CZ"/>
              </w:rPr>
              <w:t>Koncepce řešení ekologických škod</w:t>
            </w:r>
            <w:r w:rsidRPr="00A86945">
              <w:rPr>
                <w:rFonts w:eastAsia="Times New Roman"/>
                <w:iCs/>
                <w:color w:val="000000"/>
                <w:szCs w:val="24"/>
                <w:lang w:eastAsia="cs-CZ"/>
              </w:rPr>
              <w:t>“ a „</w:t>
            </w:r>
            <w:r w:rsidRPr="00A86945">
              <w:rPr>
                <w:rFonts w:eastAsia="Times New Roman"/>
                <w:b/>
                <w:iCs/>
                <w:color w:val="000000"/>
                <w:szCs w:val="24"/>
                <w:lang w:eastAsia="cs-CZ"/>
              </w:rPr>
              <w:t>Směrnice meziresortní komise</w:t>
            </w:r>
            <w:r w:rsidRPr="00A86945">
              <w:rPr>
                <w:rFonts w:eastAsia="Times New Roman"/>
                <w:iCs/>
                <w:color w:val="000000"/>
                <w:szCs w:val="24"/>
                <w:lang w:eastAsia="cs-CZ"/>
              </w:rPr>
              <w:t>“.</w:t>
            </w:r>
          </w:p>
          <w:p w14:paraId="224C23AB" w14:textId="77777777" w:rsidR="00A86945" w:rsidRPr="00A86945" w:rsidRDefault="00A86945" w:rsidP="00A86945">
            <w:pPr>
              <w:spacing w:after="60" w:line="240" w:lineRule="auto"/>
              <w:jc w:val="both"/>
              <w:rPr>
                <w:rFonts w:eastAsia="Times New Roman"/>
                <w:iCs/>
                <w:color w:val="000000"/>
                <w:szCs w:val="24"/>
                <w:lang w:eastAsia="cs-CZ"/>
              </w:rPr>
            </w:pPr>
            <w:r w:rsidRPr="00A86945">
              <w:rPr>
                <w:rFonts w:eastAsia="Times New Roman"/>
                <w:iCs/>
                <w:color w:val="000000"/>
                <w:szCs w:val="24"/>
                <w:lang w:eastAsia="cs-CZ"/>
              </w:rPr>
              <w:t xml:space="preserve">K 31. 12. 2016 bylo celkem vyčerpáno </w:t>
            </w:r>
            <w:r w:rsidRPr="00A86945">
              <w:rPr>
                <w:rFonts w:eastAsia="Times New Roman"/>
                <w:b/>
                <w:iCs/>
                <w:color w:val="000000"/>
                <w:szCs w:val="24"/>
                <w:lang w:eastAsia="cs-CZ"/>
              </w:rPr>
              <w:t>13,087 mld. Kč</w:t>
            </w:r>
            <w:r w:rsidRPr="00A86945">
              <w:rPr>
                <w:rFonts w:eastAsia="Times New Roman"/>
                <w:iCs/>
                <w:color w:val="000000"/>
                <w:szCs w:val="24"/>
                <w:lang w:eastAsia="cs-CZ"/>
              </w:rPr>
              <w:t xml:space="preserve">, zbývá </w:t>
            </w:r>
            <w:r w:rsidRPr="00A86945">
              <w:rPr>
                <w:rFonts w:eastAsia="Times New Roman"/>
                <w:b/>
                <w:iCs/>
                <w:color w:val="000000"/>
                <w:szCs w:val="24"/>
                <w:lang w:eastAsia="cs-CZ"/>
              </w:rPr>
              <w:t>1,913 mld. Kč</w:t>
            </w:r>
            <w:r w:rsidRPr="00A86945">
              <w:rPr>
                <w:rFonts w:eastAsia="Times New Roman"/>
                <w:iCs/>
                <w:color w:val="000000"/>
                <w:szCs w:val="24"/>
                <w:lang w:eastAsia="cs-CZ"/>
              </w:rPr>
              <w:t xml:space="preserve">. Výběr projektů pro dočerpání této částky je schválen </w:t>
            </w:r>
            <w:r w:rsidRPr="00A86945">
              <w:rPr>
                <w:rFonts w:eastAsia="Times New Roman"/>
                <w:b/>
                <w:iCs/>
                <w:color w:val="000000"/>
                <w:szCs w:val="24"/>
                <w:lang w:eastAsia="cs-CZ"/>
              </w:rPr>
              <w:t>UV č. 546/2016</w:t>
            </w:r>
            <w:r w:rsidRPr="00A86945">
              <w:rPr>
                <w:rFonts w:eastAsia="Times New Roman"/>
                <w:iCs/>
                <w:color w:val="000000"/>
                <w:szCs w:val="24"/>
                <w:lang w:eastAsia="cs-CZ"/>
              </w:rPr>
              <w:t>.</w:t>
            </w:r>
          </w:p>
          <w:p w14:paraId="5E011F33" w14:textId="77777777" w:rsidR="00A86945" w:rsidRPr="00A86945" w:rsidRDefault="00A86945" w:rsidP="00A86945">
            <w:pPr>
              <w:spacing w:after="60" w:line="240" w:lineRule="auto"/>
              <w:jc w:val="both"/>
              <w:rPr>
                <w:rFonts w:eastAsia="Times New Roman"/>
                <w:iCs/>
                <w:color w:val="000000"/>
                <w:szCs w:val="24"/>
                <w:lang w:eastAsia="cs-CZ"/>
              </w:rPr>
            </w:pPr>
            <w:r w:rsidRPr="00A86945">
              <w:rPr>
                <w:rFonts w:eastAsia="Times New Roman"/>
                <w:iCs/>
                <w:color w:val="000000"/>
                <w:szCs w:val="24"/>
                <w:lang w:eastAsia="cs-CZ"/>
              </w:rPr>
              <w:t xml:space="preserve">O úhradu nákladů na odstraňování ekologických škod mohou žádat vyjmenované hnědouhelné společnosti, které vznikly privatizací státních podniků, dotčené obce (58 obcí v ULK a 22 obcí v KVK) a Ústecký a Karlovarský kraj. </w:t>
            </w:r>
          </w:p>
          <w:p w14:paraId="6C16DDB0" w14:textId="77777777" w:rsidR="00A86945" w:rsidRPr="00A86945" w:rsidRDefault="00A86945" w:rsidP="00A86945">
            <w:pPr>
              <w:spacing w:before="120" w:after="0" w:line="240" w:lineRule="auto"/>
              <w:jc w:val="both"/>
              <w:rPr>
                <w:rFonts w:eastAsia="Times New Roman"/>
                <w:b/>
                <w:iCs/>
                <w:color w:val="000000"/>
                <w:szCs w:val="24"/>
                <w:lang w:eastAsia="cs-CZ"/>
              </w:rPr>
            </w:pPr>
            <w:r w:rsidRPr="00A86945">
              <w:rPr>
                <w:rFonts w:eastAsia="Times New Roman"/>
                <w:iCs/>
                <w:color w:val="000000"/>
                <w:szCs w:val="24"/>
                <w:lang w:eastAsia="cs-CZ"/>
              </w:rPr>
              <w:t xml:space="preserve">Zdůvodnění programu:   </w:t>
            </w:r>
            <w:r w:rsidRPr="00A86945">
              <w:rPr>
                <w:rFonts w:eastAsia="Times New Roman"/>
                <w:b/>
                <w:iCs/>
                <w:color w:val="000000"/>
                <w:szCs w:val="24"/>
                <w:lang w:eastAsia="cs-CZ"/>
              </w:rPr>
              <w:t xml:space="preserve"> </w:t>
            </w:r>
          </w:p>
          <w:p w14:paraId="444393EF" w14:textId="77777777" w:rsidR="00A86945" w:rsidRPr="00A86945" w:rsidRDefault="00A86945" w:rsidP="00A86945">
            <w:pPr>
              <w:pStyle w:val="Odstavecseseznamem"/>
              <w:numPr>
                <w:ilvl w:val="0"/>
                <w:numId w:val="16"/>
              </w:numPr>
              <w:spacing w:after="0" w:line="240" w:lineRule="auto"/>
              <w:ind w:left="527" w:hanging="357"/>
              <w:contextualSpacing w:val="0"/>
              <w:jc w:val="both"/>
              <w:rPr>
                <w:rFonts w:eastAsia="Times New Roman"/>
                <w:b/>
                <w:iCs/>
                <w:color w:val="000000"/>
                <w:szCs w:val="24"/>
                <w:lang w:eastAsia="cs-CZ"/>
              </w:rPr>
            </w:pPr>
            <w:r w:rsidRPr="00A86945">
              <w:rPr>
                <w:rFonts w:eastAsia="Times New Roman"/>
                <w:b/>
                <w:iCs/>
                <w:color w:val="000000"/>
                <w:szCs w:val="24"/>
                <w:lang w:eastAsia="cs-CZ"/>
              </w:rPr>
              <w:t xml:space="preserve">Akcelerace zadávání veřejných zakázek. </w:t>
            </w:r>
          </w:p>
          <w:p w14:paraId="6F8F2059" w14:textId="77777777" w:rsidR="00A86945" w:rsidRPr="00A86945" w:rsidRDefault="00A86945" w:rsidP="00A86945">
            <w:pPr>
              <w:pStyle w:val="Odstavecseseznamem"/>
              <w:spacing w:after="120" w:line="240" w:lineRule="auto"/>
              <w:ind w:left="527"/>
              <w:contextualSpacing w:val="0"/>
              <w:jc w:val="both"/>
              <w:rPr>
                <w:rFonts w:eastAsia="Times New Roman"/>
                <w:iCs/>
                <w:color w:val="000000"/>
                <w:szCs w:val="24"/>
                <w:lang w:eastAsia="cs-CZ"/>
              </w:rPr>
            </w:pPr>
            <w:r w:rsidRPr="00A86945">
              <w:rPr>
                <w:rFonts w:cstheme="minorHAnsi"/>
                <w:bCs/>
                <w:szCs w:val="24"/>
              </w:rPr>
              <w:t>Pomalý proces zadávání a malý počet vyhlašovaných veřejných zakázek způsobuje žadatelům značné potíže, neboť do přípravy vložili nemalé finanční prostředky (projektová dokumentace, výkup pozemků, zřízení věcných břemen). U některých připravených projektů může dojít k propadnutí stavebního povolení. Dalším problémem je, že na revitalizační projekty (spodní stavba - inženýrské sítě) navazují další projekty výstavby, které jsou hrazeny z různých zdrojů, jejichž čerpání je časově omezeno.</w:t>
            </w:r>
          </w:p>
          <w:p w14:paraId="60D8DF15" w14:textId="77777777" w:rsidR="00A86945" w:rsidRPr="00A86945" w:rsidRDefault="00A86945" w:rsidP="00A86945">
            <w:pPr>
              <w:pStyle w:val="Odstavecseseznamem"/>
              <w:numPr>
                <w:ilvl w:val="0"/>
                <w:numId w:val="16"/>
              </w:numPr>
              <w:spacing w:after="60" w:line="240" w:lineRule="auto"/>
              <w:ind w:left="527" w:hanging="357"/>
              <w:jc w:val="both"/>
              <w:rPr>
                <w:rFonts w:eastAsia="Times New Roman"/>
                <w:b/>
                <w:iCs/>
                <w:color w:val="000000"/>
                <w:szCs w:val="24"/>
                <w:lang w:eastAsia="cs-CZ"/>
              </w:rPr>
            </w:pPr>
            <w:r w:rsidRPr="00A86945">
              <w:rPr>
                <w:rFonts w:cstheme="minorHAnsi"/>
                <w:b/>
                <w:bCs/>
                <w:szCs w:val="24"/>
              </w:rPr>
              <w:t xml:space="preserve">Důvody pro navýšení finančních prostředků. </w:t>
            </w:r>
          </w:p>
          <w:p w14:paraId="2614784F" w14:textId="7AF30011" w:rsidR="00A86945" w:rsidRPr="00A86945" w:rsidRDefault="00A86945" w:rsidP="00A86945">
            <w:pPr>
              <w:spacing w:after="0"/>
              <w:jc w:val="both"/>
              <w:rPr>
                <w:rFonts w:eastAsia="Times New Roman"/>
                <w:iCs/>
                <w:lang w:eastAsia="cs-CZ"/>
              </w:rPr>
            </w:pPr>
            <w:r w:rsidRPr="00A86945">
              <w:rPr>
                <w:rFonts w:cstheme="minorHAnsi"/>
                <w:bCs/>
                <w:szCs w:val="24"/>
              </w:rPr>
              <w:t>Vládou vymezených 15 mld. Kč bylo politickým rozhodnutím, které nerespektovalo skutečnou potřebu finančních prostředků na rekultivaci a revitalizaci území, která přesahovala 20 mld. Kč. Také v důsledku zvyšující se sazby DPH (z původních 5 % na současných 21 %) na vlastní projekty reálně zbývá jen 12,4 mld. Kč. Od roku 2002 se zvýšily náklady na realizované zakázky.  Vládou vymezené prostředky jsou nedostatečné, bez odstranění ekologických škod není možné dokončit komplexní revitalizaci území, která je podmínkou pro následnou resocializaci, další rozvoj postiženého území a změnu image regionu.</w:t>
            </w:r>
          </w:p>
        </w:tc>
      </w:tr>
      <w:tr w:rsidR="008F6BBD" w:rsidRPr="00DA67AB" w14:paraId="5A192D56" w14:textId="77777777" w:rsidTr="00102FBF">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9F01EE" w14:textId="77777777" w:rsidR="008F6BBD" w:rsidRPr="00DA67AB" w:rsidRDefault="008F6BBD" w:rsidP="00AA2C5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78" w:type="dxa"/>
            <w:tcBorders>
              <w:top w:val="single" w:sz="4" w:space="0" w:color="auto"/>
              <w:left w:val="nil"/>
              <w:bottom w:val="single" w:sz="4" w:space="0" w:color="auto"/>
              <w:right w:val="single" w:sz="4" w:space="0" w:color="auto"/>
            </w:tcBorders>
            <w:shd w:val="clear" w:color="auto" w:fill="auto"/>
            <w:noWrap/>
            <w:vAlign w:val="center"/>
          </w:tcPr>
          <w:p w14:paraId="6019D54F" w14:textId="2ABEF533" w:rsidR="008F6BBD" w:rsidRPr="00B13A5D" w:rsidRDefault="00567B6A" w:rsidP="00AA2C5E">
            <w:pPr>
              <w:spacing w:after="0" w:line="240" w:lineRule="auto"/>
              <w:rPr>
                <w:rFonts w:ascii="Calibri" w:eastAsia="Times New Roman" w:hAnsi="Calibri" w:cs="Times New Roman"/>
                <w:iCs/>
                <w:color w:val="000000"/>
                <w:lang w:eastAsia="cs-CZ"/>
              </w:rPr>
            </w:pPr>
            <w:r>
              <w:rPr>
                <w:rFonts w:ascii="Calibri" w:eastAsia="Times New Roman" w:hAnsi="Calibri" w:cs="Times New Roman"/>
                <w:iCs/>
                <w:color w:val="000000"/>
                <w:lang w:eastAsia="cs-CZ"/>
              </w:rPr>
              <w:t>Ministerst</w:t>
            </w:r>
            <w:r w:rsidR="009643E5" w:rsidRPr="00B13A5D">
              <w:rPr>
                <w:rFonts w:ascii="Calibri" w:eastAsia="Times New Roman" w:hAnsi="Calibri" w:cs="Times New Roman"/>
                <w:iCs/>
                <w:color w:val="000000"/>
                <w:lang w:eastAsia="cs-CZ"/>
              </w:rPr>
              <w:t>vo financí</w:t>
            </w:r>
          </w:p>
        </w:tc>
      </w:tr>
      <w:tr w:rsidR="008F6BBD" w:rsidRPr="00DA67AB" w14:paraId="62B49E85" w14:textId="77777777" w:rsidTr="00102FBF">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D1CD4" w14:textId="77777777" w:rsidR="008F6BBD" w:rsidRPr="00DA67AB" w:rsidRDefault="008F6BBD" w:rsidP="00AA2C5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lastRenderedPageBreak/>
              <w:t>Rozpočet pro realizaci opatření (odhad)</w:t>
            </w:r>
          </w:p>
        </w:tc>
        <w:tc>
          <w:tcPr>
            <w:tcW w:w="6778" w:type="dxa"/>
            <w:tcBorders>
              <w:top w:val="single" w:sz="4" w:space="0" w:color="auto"/>
              <w:left w:val="nil"/>
              <w:bottom w:val="single" w:sz="4" w:space="0" w:color="auto"/>
              <w:right w:val="single" w:sz="4" w:space="0" w:color="auto"/>
            </w:tcBorders>
            <w:shd w:val="clear" w:color="auto" w:fill="auto"/>
            <w:noWrap/>
            <w:vAlign w:val="center"/>
          </w:tcPr>
          <w:tbl>
            <w:tblPr>
              <w:tblStyle w:val="Mkatabulky"/>
              <w:tblW w:w="0" w:type="auto"/>
              <w:tblLook w:val="04A0" w:firstRow="1" w:lastRow="0" w:firstColumn="1" w:lastColumn="0" w:noHBand="0" w:noVBand="1"/>
            </w:tblPr>
            <w:tblGrid>
              <w:gridCol w:w="1630"/>
              <w:gridCol w:w="1443"/>
              <w:gridCol w:w="1404"/>
              <w:gridCol w:w="1250"/>
            </w:tblGrid>
            <w:tr w:rsidR="00A86945" w14:paraId="3A904A4D" w14:textId="77777777" w:rsidTr="00D6105E">
              <w:tc>
                <w:tcPr>
                  <w:tcW w:w="1630" w:type="dxa"/>
                  <w:tcBorders>
                    <w:top w:val="single" w:sz="4" w:space="0" w:color="auto"/>
                    <w:bottom w:val="single" w:sz="18" w:space="0" w:color="auto"/>
                  </w:tcBorders>
                </w:tcPr>
                <w:p w14:paraId="13C37503" w14:textId="77777777" w:rsidR="00A86945" w:rsidRDefault="00A86945" w:rsidP="00A86945">
                  <w:pPr>
                    <w:rPr>
                      <w:sz w:val="24"/>
                      <w:szCs w:val="24"/>
                    </w:rPr>
                  </w:pPr>
                  <w:r>
                    <w:rPr>
                      <w:sz w:val="24"/>
                      <w:szCs w:val="24"/>
                    </w:rPr>
                    <w:t>Dočerpání schválených finančních prostředků</w:t>
                  </w:r>
                </w:p>
              </w:tc>
              <w:tc>
                <w:tcPr>
                  <w:tcW w:w="1443" w:type="dxa"/>
                  <w:tcBorders>
                    <w:top w:val="single" w:sz="4" w:space="0" w:color="auto"/>
                    <w:bottom w:val="single" w:sz="18" w:space="0" w:color="auto"/>
                  </w:tcBorders>
                  <w:vAlign w:val="center"/>
                </w:tcPr>
                <w:p w14:paraId="4C6CB99F" w14:textId="77777777" w:rsidR="00A86945" w:rsidRDefault="00A86945" w:rsidP="00A86945">
                  <w:pPr>
                    <w:rPr>
                      <w:sz w:val="24"/>
                      <w:szCs w:val="24"/>
                    </w:rPr>
                  </w:pPr>
                  <w:r>
                    <w:rPr>
                      <w:sz w:val="24"/>
                      <w:szCs w:val="24"/>
                    </w:rPr>
                    <w:t>1,913 mld. Kč</w:t>
                  </w:r>
                </w:p>
              </w:tc>
              <w:tc>
                <w:tcPr>
                  <w:tcW w:w="1404" w:type="dxa"/>
                  <w:tcBorders>
                    <w:top w:val="single" w:sz="4" w:space="0" w:color="auto"/>
                    <w:bottom w:val="single" w:sz="18" w:space="0" w:color="auto"/>
                  </w:tcBorders>
                  <w:vAlign w:val="center"/>
                </w:tcPr>
                <w:p w14:paraId="0219F82F" w14:textId="77777777" w:rsidR="00A86945" w:rsidRDefault="00A86945" w:rsidP="00A86945">
                  <w:pPr>
                    <w:rPr>
                      <w:sz w:val="24"/>
                      <w:szCs w:val="24"/>
                    </w:rPr>
                  </w:pPr>
                  <w:r>
                    <w:rPr>
                      <w:sz w:val="24"/>
                      <w:szCs w:val="24"/>
                    </w:rPr>
                    <w:t>UV č. 50/2002</w:t>
                  </w:r>
                </w:p>
              </w:tc>
              <w:tc>
                <w:tcPr>
                  <w:tcW w:w="1250" w:type="dxa"/>
                  <w:tcBorders>
                    <w:top w:val="single" w:sz="4" w:space="0" w:color="auto"/>
                    <w:bottom w:val="single" w:sz="18" w:space="0" w:color="auto"/>
                  </w:tcBorders>
                  <w:vAlign w:val="center"/>
                </w:tcPr>
                <w:p w14:paraId="3952DA5F" w14:textId="77777777" w:rsidR="00A86945" w:rsidRDefault="00A86945" w:rsidP="00A86945">
                  <w:pPr>
                    <w:jc w:val="center"/>
                    <w:rPr>
                      <w:sz w:val="24"/>
                      <w:szCs w:val="24"/>
                    </w:rPr>
                  </w:pPr>
                  <w:r>
                    <w:rPr>
                      <w:sz w:val="24"/>
                      <w:szCs w:val="24"/>
                    </w:rPr>
                    <w:t>2017 – 2020</w:t>
                  </w:r>
                </w:p>
              </w:tc>
            </w:tr>
            <w:tr w:rsidR="00A86945" w14:paraId="5E821A2C" w14:textId="77777777" w:rsidTr="00D6105E">
              <w:tc>
                <w:tcPr>
                  <w:tcW w:w="1630" w:type="dxa"/>
                  <w:tcBorders>
                    <w:top w:val="single" w:sz="18" w:space="0" w:color="auto"/>
                  </w:tcBorders>
                </w:tcPr>
                <w:p w14:paraId="4C7F4A02" w14:textId="77777777" w:rsidR="00A86945" w:rsidRDefault="00A86945" w:rsidP="00A86945">
                  <w:pPr>
                    <w:rPr>
                      <w:sz w:val="24"/>
                      <w:szCs w:val="24"/>
                    </w:rPr>
                  </w:pPr>
                  <w:r>
                    <w:rPr>
                      <w:sz w:val="24"/>
                      <w:szCs w:val="24"/>
                    </w:rPr>
                    <w:t>Navýšení alokace</w:t>
                  </w:r>
                </w:p>
              </w:tc>
              <w:tc>
                <w:tcPr>
                  <w:tcW w:w="1443" w:type="dxa"/>
                  <w:tcBorders>
                    <w:top w:val="single" w:sz="18" w:space="0" w:color="auto"/>
                  </w:tcBorders>
                  <w:vAlign w:val="center"/>
                </w:tcPr>
                <w:p w14:paraId="4A4706FE" w14:textId="77777777" w:rsidR="00A86945" w:rsidRDefault="00A86945" w:rsidP="00A86945">
                  <w:pPr>
                    <w:rPr>
                      <w:sz w:val="24"/>
                      <w:szCs w:val="24"/>
                    </w:rPr>
                  </w:pPr>
                  <w:r>
                    <w:rPr>
                      <w:sz w:val="24"/>
                      <w:szCs w:val="24"/>
                    </w:rPr>
                    <w:t>3,0 mld. Kč</w:t>
                  </w:r>
                </w:p>
              </w:tc>
              <w:tc>
                <w:tcPr>
                  <w:tcW w:w="1404" w:type="dxa"/>
                  <w:tcBorders>
                    <w:top w:val="single" w:sz="18" w:space="0" w:color="auto"/>
                  </w:tcBorders>
                  <w:vAlign w:val="center"/>
                </w:tcPr>
                <w:p w14:paraId="21E41711" w14:textId="77777777" w:rsidR="00A86945" w:rsidRDefault="00A86945" w:rsidP="00A86945">
                  <w:pPr>
                    <w:rPr>
                      <w:sz w:val="24"/>
                      <w:szCs w:val="24"/>
                    </w:rPr>
                  </w:pPr>
                </w:p>
              </w:tc>
              <w:tc>
                <w:tcPr>
                  <w:tcW w:w="1250" w:type="dxa"/>
                  <w:tcBorders>
                    <w:top w:val="single" w:sz="18" w:space="0" w:color="auto"/>
                  </w:tcBorders>
                  <w:vAlign w:val="center"/>
                </w:tcPr>
                <w:p w14:paraId="4655A404" w14:textId="77777777" w:rsidR="00A86945" w:rsidRDefault="00A86945" w:rsidP="00A86945">
                  <w:pPr>
                    <w:jc w:val="center"/>
                    <w:rPr>
                      <w:sz w:val="24"/>
                      <w:szCs w:val="24"/>
                    </w:rPr>
                  </w:pPr>
                  <w:r>
                    <w:rPr>
                      <w:sz w:val="24"/>
                      <w:szCs w:val="24"/>
                    </w:rPr>
                    <w:t>2019 - 2023</w:t>
                  </w:r>
                </w:p>
              </w:tc>
            </w:tr>
            <w:tr w:rsidR="00A86945" w14:paraId="1DBBA5DD" w14:textId="77777777" w:rsidTr="00D6105E">
              <w:trPr>
                <w:trHeight w:val="598"/>
              </w:trPr>
              <w:tc>
                <w:tcPr>
                  <w:tcW w:w="1630" w:type="dxa"/>
                  <w:vAlign w:val="center"/>
                </w:tcPr>
                <w:p w14:paraId="4032F954" w14:textId="77777777" w:rsidR="00A86945" w:rsidRDefault="00A86945" w:rsidP="00A86945">
                  <w:pPr>
                    <w:rPr>
                      <w:sz w:val="24"/>
                      <w:szCs w:val="24"/>
                    </w:rPr>
                  </w:pPr>
                  <w:r>
                    <w:rPr>
                      <w:sz w:val="24"/>
                      <w:szCs w:val="24"/>
                    </w:rPr>
                    <w:t>Provoz ročně po navýšení</w:t>
                  </w:r>
                </w:p>
              </w:tc>
              <w:tc>
                <w:tcPr>
                  <w:tcW w:w="1443" w:type="dxa"/>
                  <w:vAlign w:val="center"/>
                </w:tcPr>
                <w:p w14:paraId="7E93E234" w14:textId="77777777" w:rsidR="00A86945" w:rsidRDefault="00A86945" w:rsidP="00A86945">
                  <w:pPr>
                    <w:rPr>
                      <w:sz w:val="24"/>
                      <w:szCs w:val="24"/>
                    </w:rPr>
                  </w:pPr>
                  <w:r>
                    <w:rPr>
                      <w:sz w:val="24"/>
                      <w:szCs w:val="24"/>
                    </w:rPr>
                    <w:t>600 mil. Kč</w:t>
                  </w:r>
                </w:p>
              </w:tc>
              <w:tc>
                <w:tcPr>
                  <w:tcW w:w="1404" w:type="dxa"/>
                  <w:vAlign w:val="center"/>
                </w:tcPr>
                <w:p w14:paraId="0A59EB2A" w14:textId="77777777" w:rsidR="00A86945" w:rsidRDefault="00A86945" w:rsidP="00A86945">
                  <w:pPr>
                    <w:rPr>
                      <w:sz w:val="24"/>
                      <w:szCs w:val="24"/>
                    </w:rPr>
                  </w:pPr>
                </w:p>
              </w:tc>
              <w:tc>
                <w:tcPr>
                  <w:tcW w:w="1250" w:type="dxa"/>
                  <w:vAlign w:val="center"/>
                </w:tcPr>
                <w:p w14:paraId="369F70EB" w14:textId="77777777" w:rsidR="00A86945" w:rsidRDefault="00A86945" w:rsidP="00A86945">
                  <w:pPr>
                    <w:jc w:val="center"/>
                    <w:rPr>
                      <w:sz w:val="24"/>
                      <w:szCs w:val="24"/>
                    </w:rPr>
                  </w:pPr>
                  <w:r>
                    <w:rPr>
                      <w:sz w:val="24"/>
                      <w:szCs w:val="24"/>
                    </w:rPr>
                    <w:t>2019 - 2023</w:t>
                  </w:r>
                </w:p>
              </w:tc>
            </w:tr>
          </w:tbl>
          <w:p w14:paraId="2D77A9AA" w14:textId="0FD905E2" w:rsidR="009643E5" w:rsidRPr="00A86945" w:rsidRDefault="009643E5" w:rsidP="009643E5">
            <w:pPr>
              <w:spacing w:after="0" w:line="240" w:lineRule="auto"/>
            </w:pPr>
          </w:p>
        </w:tc>
      </w:tr>
      <w:tr w:rsidR="008F6BBD" w:rsidRPr="00DA67AB" w14:paraId="4A4A5807" w14:textId="77777777" w:rsidTr="00102FBF">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324442" w14:textId="77777777" w:rsidR="008F6BBD" w:rsidRPr="00DA67AB" w:rsidRDefault="008F6BBD" w:rsidP="00AA2C5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78" w:type="dxa"/>
            <w:tcBorders>
              <w:top w:val="single" w:sz="4" w:space="0" w:color="auto"/>
              <w:left w:val="nil"/>
              <w:bottom w:val="single" w:sz="4" w:space="0" w:color="auto"/>
              <w:right w:val="single" w:sz="4" w:space="0" w:color="auto"/>
            </w:tcBorders>
            <w:shd w:val="clear" w:color="auto" w:fill="auto"/>
            <w:noWrap/>
            <w:vAlign w:val="center"/>
          </w:tcPr>
          <w:p w14:paraId="1171800E" w14:textId="3F8F8C3F" w:rsidR="008F6BBD" w:rsidRPr="00B13A5D" w:rsidRDefault="009643E5" w:rsidP="009643E5">
            <w:pPr>
              <w:spacing w:after="0" w:line="240" w:lineRule="auto"/>
              <w:rPr>
                <w:rFonts w:ascii="Calibri" w:eastAsia="Times New Roman" w:hAnsi="Calibri" w:cs="Times New Roman"/>
                <w:iCs/>
                <w:color w:val="000000"/>
                <w:lang w:eastAsia="cs-CZ"/>
              </w:rPr>
            </w:pPr>
            <w:r w:rsidRPr="00B13A5D">
              <w:rPr>
                <w:rFonts w:ascii="Calibri" w:eastAsia="Times New Roman" w:hAnsi="Calibri" w:cs="Times New Roman"/>
                <w:iCs/>
                <w:color w:val="000000"/>
                <w:lang w:eastAsia="cs-CZ"/>
              </w:rPr>
              <w:t>Státní rozpočet – MF</w:t>
            </w:r>
          </w:p>
        </w:tc>
      </w:tr>
    </w:tbl>
    <w:p w14:paraId="54D1499F" w14:textId="4A0A4DDD" w:rsidR="006876FB" w:rsidRDefault="006876FB" w:rsidP="008F6BBD"/>
    <w:tbl>
      <w:tblPr>
        <w:tblW w:w="9568" w:type="dxa"/>
        <w:tblInd w:w="65" w:type="dxa"/>
        <w:tblCellMar>
          <w:left w:w="70" w:type="dxa"/>
          <w:right w:w="70" w:type="dxa"/>
        </w:tblCellMar>
        <w:tblLook w:val="04A0" w:firstRow="1" w:lastRow="0" w:firstColumn="1" w:lastColumn="0" w:noHBand="0" w:noVBand="1"/>
      </w:tblPr>
      <w:tblGrid>
        <w:gridCol w:w="2800"/>
        <w:gridCol w:w="6768"/>
      </w:tblGrid>
      <w:tr w:rsidR="001348B3" w:rsidRPr="00DA67AB" w14:paraId="08B3BDC3" w14:textId="77777777" w:rsidTr="001348B3">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A7612" w14:textId="77777777" w:rsidR="001348B3" w:rsidRPr="00DA67AB" w:rsidRDefault="001348B3" w:rsidP="001A01E1">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9D05759" w14:textId="24368FAD" w:rsidR="001348B3" w:rsidRPr="00520881" w:rsidRDefault="00A86945" w:rsidP="00462E5E">
            <w:pPr>
              <w:spacing w:after="0" w:line="240" w:lineRule="auto"/>
              <w:rPr>
                <w:rFonts w:ascii="Calibri" w:eastAsia="Times New Roman" w:hAnsi="Calibri" w:cs="Times New Roman"/>
                <w:b/>
                <w:bCs/>
                <w:i/>
                <w:color w:val="000000"/>
                <w:lang w:eastAsia="cs-CZ"/>
              </w:rPr>
            </w:pPr>
            <w:r w:rsidRPr="00A86945">
              <w:rPr>
                <w:b/>
              </w:rPr>
              <w:t>Akcelerace programu na řešení sanace ekologických škod – závazky vyplývající z privatizačních smluv (kompetence MF ČR)</w:t>
            </w:r>
          </w:p>
        </w:tc>
      </w:tr>
      <w:tr w:rsidR="00A86945" w:rsidRPr="00324238" w14:paraId="18AE831A" w14:textId="77777777" w:rsidTr="001348B3">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39FCE" w14:textId="77777777" w:rsidR="00A86945" w:rsidRPr="00DA67AB" w:rsidRDefault="00A86945" w:rsidP="00A86945">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173BFC0" w14:textId="77777777" w:rsidR="00A86945" w:rsidRDefault="00A86945" w:rsidP="00A86945">
            <w:pPr>
              <w:spacing w:after="60" w:line="240" w:lineRule="auto"/>
              <w:jc w:val="both"/>
              <w:rPr>
                <w:rFonts w:eastAsia="Times New Roman"/>
                <w:iCs/>
                <w:color w:val="000000"/>
                <w:sz w:val="24"/>
                <w:szCs w:val="24"/>
                <w:lang w:eastAsia="cs-CZ"/>
              </w:rPr>
            </w:pPr>
            <w:r>
              <w:rPr>
                <w:rFonts w:eastAsia="Times New Roman"/>
                <w:iCs/>
                <w:color w:val="000000"/>
                <w:sz w:val="24"/>
                <w:szCs w:val="24"/>
                <w:lang w:eastAsia="cs-CZ"/>
              </w:rPr>
              <w:t xml:space="preserve">Státní majetek byl v minulosti často zatížen značnými ekologickými škodami vzniklými z provozu průmyslových a jiných podniků. V zájmu urychlení procesu jeho privatizace byl státní majetek převeden novým vlastníkům (tzv. nabyvatelům) i s těmito starými ekologickými zátěžemi. Zákonná právní úprava přitom přenesla právní povinnosti těchto zátěží a odpovědnost za splnění těchto limitů životního prostřední na nabyvatele. Vzhledem k nejasnému rozsahu těchto ekologických zátěží tyto nebyly zohledněny v ceně za prodej státního majetku nabyvatelům. Česká republika se proto při privatizaci jednotlivým nabyvatelům na základě zvláštní smlouvy (tzv. ekologická smlouva ES) zavázala, že uhradí do určité předem stanovené výše (tzv. garance) náklady na odstranění těchto starých ekologických zátěží. Práva a povinnosti státu při zajišťování těchto sanací k úhradě nákladů s nimi spojených vykonával Fond národního majetku a po jeho zániku k 1. 1. 2006 přešla agenda na Ministerstvo financí ČR. </w:t>
            </w:r>
          </w:p>
          <w:p w14:paraId="3FAE3185" w14:textId="708FEC55" w:rsidR="00A86945" w:rsidRPr="00B13A5D" w:rsidRDefault="00A86945" w:rsidP="00A86945">
            <w:pPr>
              <w:spacing w:after="0"/>
              <w:jc w:val="both"/>
            </w:pPr>
            <w:r>
              <w:rPr>
                <w:rFonts w:eastAsia="Times New Roman"/>
                <w:iCs/>
                <w:color w:val="000000"/>
                <w:sz w:val="24"/>
                <w:szCs w:val="24"/>
                <w:lang w:eastAsia="cs-CZ"/>
              </w:rPr>
              <w:t>Z celkového počtu 325 smluvních garancí k odstranění starých ekologických škod s celkovou výší garance 175 740 mil. Kč byla k 30. 6. 2016 ekologická smlouva ukončena se 162 smluvními stranami s výší garance 22 295 mil. Kč. V uzavřených realizačních smlouvách je vázáno 52 190 mil. Kč. Od roku 1991 bylo tedy ukončeno vyčištění cca 50% lokalit a vynaloženo 13% ze schválených garancí.</w:t>
            </w:r>
          </w:p>
        </w:tc>
      </w:tr>
      <w:tr w:rsidR="001348B3" w:rsidRPr="00DA67AB" w14:paraId="6B3DE483" w14:textId="77777777" w:rsidTr="001348B3">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8305E" w14:textId="253CFAE1" w:rsidR="001348B3" w:rsidRPr="00DA67AB" w:rsidRDefault="001348B3" w:rsidP="001A01E1">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5B9481A1" w14:textId="11E39B58" w:rsidR="001348B3" w:rsidRPr="00B13A5D" w:rsidRDefault="00B13A5D" w:rsidP="00A86945">
            <w:pPr>
              <w:spacing w:after="0" w:line="240" w:lineRule="auto"/>
              <w:rPr>
                <w:rFonts w:ascii="Calibri" w:eastAsia="Times New Roman" w:hAnsi="Calibri" w:cs="Times New Roman"/>
                <w:bCs/>
                <w:color w:val="000000"/>
                <w:lang w:eastAsia="cs-CZ"/>
              </w:rPr>
            </w:pPr>
            <w:r>
              <w:rPr>
                <w:rFonts w:ascii="Calibri" w:eastAsia="Times New Roman" w:hAnsi="Calibri" w:cs="Times New Roman"/>
                <w:bCs/>
                <w:color w:val="000000"/>
                <w:lang w:eastAsia="cs-CZ"/>
              </w:rPr>
              <w:t xml:space="preserve">Ministerstvo </w:t>
            </w:r>
            <w:r w:rsidR="00A86945">
              <w:rPr>
                <w:rFonts w:ascii="Calibri" w:eastAsia="Times New Roman" w:hAnsi="Calibri" w:cs="Times New Roman"/>
                <w:bCs/>
                <w:color w:val="000000"/>
                <w:lang w:eastAsia="cs-CZ"/>
              </w:rPr>
              <w:t>financí</w:t>
            </w:r>
          </w:p>
        </w:tc>
      </w:tr>
      <w:tr w:rsidR="001348B3" w:rsidRPr="00DA67AB" w14:paraId="6D54F3AB" w14:textId="77777777" w:rsidTr="001348B3">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46C6D" w14:textId="77777777" w:rsidR="001348B3" w:rsidRPr="00DA67AB" w:rsidRDefault="001348B3" w:rsidP="001A01E1">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D706EBC" w14:textId="25D6DE24" w:rsidR="001348B3" w:rsidRPr="00B13A5D" w:rsidRDefault="001348B3" w:rsidP="00B13A5D">
            <w:pPr>
              <w:spacing w:after="0" w:line="240" w:lineRule="auto"/>
              <w:rPr>
                <w:rFonts w:ascii="Calibri" w:eastAsia="Times New Roman" w:hAnsi="Calibri" w:cs="Times New Roman"/>
                <w:bCs/>
                <w:color w:val="000000"/>
                <w:lang w:eastAsia="cs-CZ"/>
              </w:rPr>
            </w:pPr>
          </w:p>
        </w:tc>
      </w:tr>
      <w:tr w:rsidR="001348B3" w:rsidRPr="00DA67AB" w14:paraId="5DFDF951" w14:textId="77777777" w:rsidTr="001348B3">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4CAFF" w14:textId="77777777" w:rsidR="001348B3" w:rsidRPr="00DA67AB" w:rsidRDefault="001348B3" w:rsidP="001A01E1">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BBC9DCA" w14:textId="3F14D9AE" w:rsidR="001348B3" w:rsidRPr="00B13A5D" w:rsidRDefault="001348B3" w:rsidP="001A01E1">
            <w:pPr>
              <w:spacing w:after="0" w:line="240" w:lineRule="auto"/>
              <w:rPr>
                <w:rFonts w:ascii="Calibri" w:eastAsia="Times New Roman" w:hAnsi="Calibri" w:cs="Times New Roman"/>
                <w:bCs/>
                <w:color w:val="000000"/>
                <w:lang w:eastAsia="cs-CZ"/>
              </w:rPr>
            </w:pPr>
          </w:p>
        </w:tc>
      </w:tr>
    </w:tbl>
    <w:p w14:paraId="2E79890A" w14:textId="0838A327" w:rsidR="008663B7" w:rsidRDefault="008663B7"/>
    <w:p w14:paraId="7FD7C7CF" w14:textId="3C549BB8" w:rsidR="00A86945" w:rsidRDefault="00A86945"/>
    <w:p w14:paraId="14E6C534" w14:textId="77777777" w:rsidR="00A86945" w:rsidRDefault="00A86945"/>
    <w:tbl>
      <w:tblPr>
        <w:tblW w:w="9568" w:type="dxa"/>
        <w:tblInd w:w="65" w:type="dxa"/>
        <w:tblCellMar>
          <w:left w:w="70" w:type="dxa"/>
          <w:right w:w="70" w:type="dxa"/>
        </w:tblCellMar>
        <w:tblLook w:val="04A0" w:firstRow="1" w:lastRow="0" w:firstColumn="1" w:lastColumn="0" w:noHBand="0" w:noVBand="1"/>
      </w:tblPr>
      <w:tblGrid>
        <w:gridCol w:w="2800"/>
        <w:gridCol w:w="6768"/>
      </w:tblGrid>
      <w:tr w:rsidR="00A86945" w:rsidRPr="00DA67AB" w14:paraId="2840CB01" w14:textId="77777777" w:rsidTr="00D6105E">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D2050" w14:textId="77777777" w:rsidR="00A86945" w:rsidRPr="00DA67AB" w:rsidRDefault="00A86945" w:rsidP="00D6105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433D7866" w14:textId="4B7E8528" w:rsidR="00A86945" w:rsidRPr="00A86945" w:rsidRDefault="00A86945" w:rsidP="00A86945">
            <w:pPr>
              <w:spacing w:after="160" w:line="259" w:lineRule="auto"/>
              <w:jc w:val="both"/>
              <w:rPr>
                <w:rFonts w:eastAsia="Calibri" w:cs="Times New Roman"/>
                <w:b/>
              </w:rPr>
            </w:pPr>
            <w:r w:rsidRPr="00A86945">
              <w:rPr>
                <w:b/>
                <w:bCs/>
                <w:color w:val="000000"/>
                <w:lang w:eastAsia="cs-CZ"/>
              </w:rPr>
              <w:t>Přenastavení a posílení programu na sanaci ekologických škod financovaného z úrovně OP ŽP určeného pro města a obce – závazky nad rámec privatizačních smluv (kompetence MŽP)</w:t>
            </w:r>
          </w:p>
        </w:tc>
      </w:tr>
      <w:tr w:rsidR="00A86945" w:rsidRPr="00324238" w14:paraId="6093E6FD" w14:textId="77777777" w:rsidTr="00A70122">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8B90F" w14:textId="77777777" w:rsidR="00A86945" w:rsidRPr="00DA67AB" w:rsidRDefault="00A86945" w:rsidP="00A86945">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tcPr>
          <w:p w14:paraId="59D75A26" w14:textId="77777777" w:rsidR="00A86945" w:rsidRDefault="00A86945" w:rsidP="00A86945">
            <w:pPr>
              <w:spacing w:after="0"/>
              <w:jc w:val="both"/>
              <w:rPr>
                <w:rFonts w:cstheme="minorHAnsi"/>
                <w:bCs/>
              </w:rPr>
            </w:pPr>
            <w:r>
              <w:rPr>
                <w:rFonts w:cstheme="minorHAnsi"/>
                <w:bCs/>
              </w:rPr>
              <w:t xml:space="preserve">Na území řešených krajů se nachází 1725 lokalit nesoucích ekologickou zátěž, což je téměř 20% všech lokalit evidovaných v ČR. Ekologické zátěže sebou nesou nejenom řadu environmentálních rizik, ale celkově snižují atraktivitu území a jsou jedním z faktorů, který se podílí na socioekonomické deprivaci v území.  Navržený program bude nástrojem pro intenzivnější řešení problematiky v území a zároveň pomůže nastavit podmínky pro systematický postup v budoucnosti. </w:t>
            </w:r>
            <w:r w:rsidRPr="009844AF">
              <w:rPr>
                <w:rFonts w:cstheme="minorHAnsi"/>
                <w:bCs/>
              </w:rPr>
              <w:t>Intervence</w:t>
            </w:r>
            <w:r>
              <w:rPr>
                <w:rFonts w:cstheme="minorHAnsi"/>
                <w:bCs/>
              </w:rPr>
              <w:t xml:space="preserve"> programu </w:t>
            </w:r>
            <w:r w:rsidRPr="009844AF">
              <w:rPr>
                <w:rFonts w:cstheme="minorHAnsi"/>
                <w:bCs/>
              </w:rPr>
              <w:t>budou zaměřeny na komplexní regeneraci a revitalizaci a na systematické odstranění starých ekologických zátěží a na sanaci nejváženěji kontaminovaných lokalit, u kterých byla analýzou rizik ověřena kontaminace představující neakceptovatelné riziko pro lidské zdraví či ekosystémy.</w:t>
            </w:r>
          </w:p>
          <w:p w14:paraId="2CFEC546" w14:textId="4C4CF932" w:rsidR="00A86945" w:rsidRPr="004A2CB9" w:rsidRDefault="00A86945" w:rsidP="00A86945">
            <w:pPr>
              <w:spacing w:after="0"/>
              <w:rPr>
                <w:rFonts w:cstheme="minorHAnsi"/>
                <w:bCs/>
              </w:rPr>
            </w:pPr>
            <w:r>
              <w:rPr>
                <w:rFonts w:cstheme="minorHAnsi"/>
                <w:bCs/>
              </w:rPr>
              <w:t xml:space="preserve">Cílem programu je snížit environmentální rizika spojená s existencí ekologických zátěží na úrovni obyvatelstva a jednotlivých složek životního prostředí. Zároveň budou vytvořeny podmínky pro snížení ekonomických i rozvojových disparit v území, na kterých se ekologické zátěže podílejí. </w:t>
            </w:r>
            <w:r w:rsidRPr="004A2CB9">
              <w:rPr>
                <w:rFonts w:cstheme="minorHAnsi"/>
                <w:bCs/>
              </w:rPr>
              <w:t xml:space="preserve">Intervence budou provázány </w:t>
            </w:r>
            <w:r>
              <w:rPr>
                <w:rFonts w:cstheme="minorHAnsi"/>
                <w:bCs/>
              </w:rPr>
              <w:t xml:space="preserve">především s </w:t>
            </w:r>
            <w:r w:rsidRPr="004A2CB9">
              <w:rPr>
                <w:rFonts w:cstheme="minorHAnsi"/>
                <w:bCs/>
              </w:rPr>
              <w:t>OP Životní prostředí, jejichž cílem je:</w:t>
            </w:r>
          </w:p>
          <w:p w14:paraId="44E2E340" w14:textId="4B6E0EDA" w:rsidR="00A86945" w:rsidRDefault="00A86945" w:rsidP="00A86945">
            <w:pPr>
              <w:pStyle w:val="Odstavecseseznamem"/>
              <w:numPr>
                <w:ilvl w:val="0"/>
                <w:numId w:val="19"/>
              </w:numPr>
              <w:spacing w:after="0"/>
              <w:rPr>
                <w:rFonts w:asciiTheme="minorHAnsi" w:hAnsiTheme="minorHAnsi" w:cstheme="minorHAnsi"/>
                <w:bCs/>
              </w:rPr>
            </w:pPr>
            <w:r w:rsidRPr="00F468DB">
              <w:rPr>
                <w:rFonts w:asciiTheme="minorHAnsi" w:hAnsiTheme="minorHAnsi" w:cstheme="minorHAnsi"/>
                <w:bCs/>
              </w:rPr>
              <w:t xml:space="preserve">inventarizace kontaminovaných a potenciálně kontaminovaných míst, kategorizace priorit </w:t>
            </w:r>
            <w:r>
              <w:rPr>
                <w:rFonts w:asciiTheme="minorHAnsi" w:hAnsiTheme="minorHAnsi" w:cstheme="minorHAnsi"/>
                <w:bCs/>
              </w:rPr>
              <w:t>k</w:t>
            </w:r>
            <w:r w:rsidRPr="00F468DB">
              <w:rPr>
                <w:rFonts w:asciiTheme="minorHAnsi" w:hAnsiTheme="minorHAnsi" w:cstheme="minorHAnsi"/>
                <w:bCs/>
              </w:rPr>
              <w:t>ontaminovaných míst podle závažnosti,</w:t>
            </w:r>
            <w:r>
              <w:rPr>
                <w:rFonts w:asciiTheme="minorHAnsi" w:hAnsiTheme="minorHAnsi" w:cstheme="minorHAnsi"/>
                <w:bCs/>
              </w:rPr>
              <w:t xml:space="preserve"> </w:t>
            </w:r>
          </w:p>
          <w:p w14:paraId="3D4A25AB" w14:textId="05EEACFD" w:rsidR="00A86945" w:rsidRPr="00B13A5D" w:rsidRDefault="00A86945" w:rsidP="00A86945">
            <w:pPr>
              <w:pStyle w:val="Odstavecseseznamem"/>
              <w:numPr>
                <w:ilvl w:val="0"/>
                <w:numId w:val="19"/>
              </w:numPr>
              <w:spacing w:after="0"/>
              <w:jc w:val="both"/>
            </w:pPr>
            <w:r w:rsidRPr="00A86945">
              <w:rPr>
                <w:rFonts w:cstheme="minorHAnsi"/>
                <w:bCs/>
              </w:rPr>
              <w:t>realizace průzkumných prací (včetně dodatečných průzkumů), analýz rizik, sanace vážně kontaminovaných lokalit.</w:t>
            </w:r>
          </w:p>
        </w:tc>
      </w:tr>
      <w:tr w:rsidR="00A86945" w:rsidRPr="00DA67AB" w14:paraId="4A9667A8" w14:textId="77777777" w:rsidTr="00D6105E">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157E5" w14:textId="77777777" w:rsidR="00A86945" w:rsidRPr="00DA67AB" w:rsidRDefault="00A86945" w:rsidP="00D6105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2565B9D2" w14:textId="6AE7FFDB" w:rsidR="00A86945" w:rsidRPr="00B13A5D" w:rsidRDefault="00A86945" w:rsidP="00D6105E">
            <w:pPr>
              <w:spacing w:after="0" w:line="240" w:lineRule="auto"/>
              <w:rPr>
                <w:rFonts w:ascii="Calibri" w:eastAsia="Times New Roman" w:hAnsi="Calibri" w:cs="Times New Roman"/>
                <w:bCs/>
                <w:color w:val="000000"/>
                <w:lang w:eastAsia="cs-CZ"/>
              </w:rPr>
            </w:pPr>
            <w:r>
              <w:rPr>
                <w:rFonts w:cstheme="minorHAnsi"/>
                <w:bCs/>
              </w:rPr>
              <w:t>Ministerstvo životního prostředí  (řídící orgán Operačního programu Životní prostředí)</w:t>
            </w:r>
          </w:p>
        </w:tc>
      </w:tr>
      <w:tr w:rsidR="00A86945" w:rsidRPr="00DA67AB" w14:paraId="67AF1215" w14:textId="77777777" w:rsidTr="00D6105E">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384FB" w14:textId="77777777" w:rsidR="00A86945" w:rsidRPr="00DA67AB" w:rsidRDefault="00A86945" w:rsidP="00D6105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2E148B5" w14:textId="77777777" w:rsidR="00A86945" w:rsidRPr="00B13A5D" w:rsidRDefault="00A86945" w:rsidP="00D6105E">
            <w:pPr>
              <w:spacing w:after="0" w:line="240" w:lineRule="auto"/>
              <w:rPr>
                <w:rFonts w:ascii="Calibri" w:eastAsia="Times New Roman" w:hAnsi="Calibri" w:cs="Times New Roman"/>
                <w:bCs/>
                <w:color w:val="000000"/>
                <w:lang w:eastAsia="cs-CZ"/>
              </w:rPr>
            </w:pPr>
          </w:p>
        </w:tc>
      </w:tr>
      <w:tr w:rsidR="00A86945" w:rsidRPr="00DA67AB" w14:paraId="546AC998" w14:textId="77777777" w:rsidTr="00D6105E">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590A9" w14:textId="77777777" w:rsidR="00A86945" w:rsidRPr="00DA67AB" w:rsidRDefault="00A86945" w:rsidP="00D6105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679B85D9" w14:textId="77777777" w:rsidR="00A86945" w:rsidRPr="00B13A5D" w:rsidRDefault="00A86945" w:rsidP="00D6105E">
            <w:pPr>
              <w:spacing w:after="0" w:line="240" w:lineRule="auto"/>
              <w:rPr>
                <w:rFonts w:ascii="Calibri" w:eastAsia="Times New Roman" w:hAnsi="Calibri" w:cs="Times New Roman"/>
                <w:bCs/>
                <w:color w:val="000000"/>
                <w:lang w:eastAsia="cs-CZ"/>
              </w:rPr>
            </w:pPr>
          </w:p>
        </w:tc>
      </w:tr>
    </w:tbl>
    <w:p w14:paraId="2385329C" w14:textId="77777777" w:rsidR="00716FA4" w:rsidRDefault="00716FA4" w:rsidP="00842171"/>
    <w:tbl>
      <w:tblPr>
        <w:tblW w:w="9568" w:type="dxa"/>
        <w:tblInd w:w="65" w:type="dxa"/>
        <w:tblCellMar>
          <w:left w:w="70" w:type="dxa"/>
          <w:right w:w="70" w:type="dxa"/>
        </w:tblCellMar>
        <w:tblLook w:val="04A0" w:firstRow="1" w:lastRow="0" w:firstColumn="1" w:lastColumn="0" w:noHBand="0" w:noVBand="1"/>
      </w:tblPr>
      <w:tblGrid>
        <w:gridCol w:w="2800"/>
        <w:gridCol w:w="6768"/>
      </w:tblGrid>
      <w:tr w:rsidR="001E6A6A" w:rsidRPr="00DA67AB" w14:paraId="4D0626F6" w14:textId="77777777" w:rsidTr="001A01E1">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4E028" w14:textId="77777777" w:rsidR="001E6A6A" w:rsidRPr="00DA67AB" w:rsidRDefault="001E6A6A" w:rsidP="001A01E1">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67837ED" w14:textId="7B95C785" w:rsidR="001E6A6A" w:rsidRPr="003C19DF" w:rsidRDefault="00567B6A" w:rsidP="00691082">
            <w:pPr>
              <w:spacing w:after="0" w:line="240" w:lineRule="auto"/>
              <w:rPr>
                <w:b/>
              </w:rPr>
            </w:pPr>
            <w:r>
              <w:rPr>
                <w:b/>
              </w:rPr>
              <w:t>Vznik programu zaměřeného na regeneraci brownfieldů v intravilánech měst a obcí s cílem jeho prostřednictvím podporovat nepodnikatelské využití regenerovaných ploch</w:t>
            </w:r>
          </w:p>
        </w:tc>
      </w:tr>
      <w:tr w:rsidR="001E6A6A" w:rsidRPr="00DA67AB" w14:paraId="4F510249" w14:textId="77777777" w:rsidTr="001A01E1">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17720" w14:textId="77777777" w:rsidR="001E6A6A" w:rsidRPr="00DA67AB" w:rsidRDefault="001E6A6A" w:rsidP="001A01E1">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Zdůvodnění a popis programu</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378A31A4" w14:textId="77777777" w:rsidR="001E6A6A" w:rsidRPr="00691082" w:rsidRDefault="00691082" w:rsidP="001A01E1">
            <w:pPr>
              <w:spacing w:after="60" w:line="240" w:lineRule="auto"/>
              <w:jc w:val="both"/>
              <w:rPr>
                <w:rFonts w:cstheme="minorHAnsi"/>
                <w:bCs/>
              </w:rPr>
            </w:pPr>
            <w:r w:rsidRPr="00691082">
              <w:rPr>
                <w:rFonts w:cstheme="minorHAnsi"/>
                <w:bCs/>
              </w:rPr>
              <w:t xml:space="preserve">Na území hospodářsky problémových krajů je více než jinde množství starých průmyslových budov, pozemků a areálů (brownfields), v majetku různých subjektů, často však také obcí. Tyto zanedbané či již nevyužívané areály je obtížné znovu využít nebo lépe využít za běžných tržních podmínek, protože jsou často poškozeny různými ekologickými zátěžemi z minulosti před r. 1989 nebo jsou neudržované a pokud se na nich odehrávají hospodářské aktivity, jedná se často o takový druh aktivit, které neumožňují investice do rozsáhlejší či podstatné proměny těchto ploch. </w:t>
            </w:r>
            <w:r w:rsidRPr="00691082">
              <w:rPr>
                <w:rFonts w:cstheme="minorHAnsi"/>
                <w:bCs/>
              </w:rPr>
              <w:lastRenderedPageBreak/>
              <w:t>Tyto plochy a objekty také často poškozují vzhled a image těch částí měst, v nichž jsou umístěny.</w:t>
            </w:r>
          </w:p>
          <w:p w14:paraId="4C9C4FBE" w14:textId="77777777" w:rsidR="00691082" w:rsidRPr="00691082" w:rsidRDefault="00691082" w:rsidP="001A01E1">
            <w:pPr>
              <w:spacing w:after="60" w:line="240" w:lineRule="auto"/>
              <w:jc w:val="both"/>
              <w:rPr>
                <w:rFonts w:cstheme="minorHAnsi"/>
                <w:bCs/>
              </w:rPr>
            </w:pPr>
          </w:p>
          <w:p w14:paraId="056358C4" w14:textId="09B32D53" w:rsidR="00691082" w:rsidRPr="00691082" w:rsidRDefault="00691082" w:rsidP="00691082">
            <w:pPr>
              <w:spacing w:after="60" w:line="240" w:lineRule="auto"/>
              <w:jc w:val="both"/>
              <w:rPr>
                <w:rFonts w:cstheme="minorHAnsi"/>
                <w:bCs/>
                <w:color w:val="4F81BD" w:themeColor="accent1"/>
              </w:rPr>
            </w:pPr>
            <w:r w:rsidRPr="00691082">
              <w:rPr>
                <w:rFonts w:cstheme="minorHAnsi"/>
                <w:bCs/>
              </w:rPr>
              <w:t>Program umožní, aby obce a soukromé subjekty přetvářely nemovitosti (objekty, pozemky) do formy přijatelné pro okolí, jejichž využití bude v souladu s územním plánem.</w:t>
            </w:r>
          </w:p>
        </w:tc>
      </w:tr>
      <w:tr w:rsidR="001E6A6A" w:rsidRPr="00DA67AB" w14:paraId="37214A5D" w14:textId="77777777" w:rsidTr="001A01E1">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D1955D" w14:textId="77777777" w:rsidR="001E6A6A" w:rsidRPr="00DA67AB" w:rsidRDefault="001E6A6A" w:rsidP="001A01E1">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lastRenderedPageBreak/>
              <w:t xml:space="preserve">Odpovědnost za realizaci =  nositel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05C11BD" w14:textId="5C4AEFAD" w:rsidR="001E6A6A" w:rsidRPr="00691082" w:rsidRDefault="00691082" w:rsidP="001A01E1">
            <w:pPr>
              <w:spacing w:after="0" w:line="240" w:lineRule="auto"/>
              <w:rPr>
                <w:rFonts w:ascii="Calibri" w:eastAsia="Times New Roman" w:hAnsi="Calibri" w:cs="Times New Roman"/>
                <w:iCs/>
                <w:color w:val="4F81BD" w:themeColor="accent1"/>
                <w:lang w:eastAsia="cs-CZ"/>
              </w:rPr>
            </w:pPr>
            <w:r w:rsidRPr="00691082">
              <w:rPr>
                <w:rFonts w:ascii="Calibri" w:eastAsia="Times New Roman" w:hAnsi="Calibri" w:cs="Times New Roman"/>
                <w:iCs/>
                <w:lang w:eastAsia="cs-CZ"/>
              </w:rPr>
              <w:t>Ministerstvo pro místní rozvoj</w:t>
            </w:r>
          </w:p>
        </w:tc>
      </w:tr>
      <w:tr w:rsidR="001E6A6A" w:rsidRPr="00DA67AB" w14:paraId="2208B225" w14:textId="77777777" w:rsidTr="001A01E1">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2EAF4C" w14:textId="77777777" w:rsidR="001E6A6A" w:rsidRPr="00DA67AB" w:rsidRDefault="001E6A6A" w:rsidP="001A01E1">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Rozpočet pro realizaci opatření (odhad)</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0107C477" w14:textId="1FE65284" w:rsidR="001E6A6A" w:rsidRPr="00691082" w:rsidRDefault="00691082" w:rsidP="001A01E1">
            <w:pPr>
              <w:spacing w:after="0" w:line="240" w:lineRule="auto"/>
              <w:rPr>
                <w:rFonts w:ascii="Calibri" w:eastAsia="Times New Roman" w:hAnsi="Calibri" w:cs="Times New Roman"/>
                <w:iCs/>
                <w:lang w:eastAsia="cs-CZ"/>
              </w:rPr>
            </w:pPr>
            <w:r>
              <w:rPr>
                <w:rFonts w:ascii="Calibri" w:eastAsia="Times New Roman" w:hAnsi="Calibri" w:cs="Times New Roman"/>
                <w:iCs/>
                <w:lang w:eastAsia="cs-CZ"/>
              </w:rPr>
              <w:t>300</w:t>
            </w:r>
            <w:r w:rsidRPr="00691082">
              <w:rPr>
                <w:rFonts w:ascii="Calibri" w:eastAsia="Times New Roman" w:hAnsi="Calibri" w:cs="Times New Roman"/>
                <w:iCs/>
                <w:lang w:eastAsia="cs-CZ"/>
              </w:rPr>
              <w:t xml:space="preserve"> mil. Kč</w:t>
            </w:r>
          </w:p>
        </w:tc>
      </w:tr>
      <w:tr w:rsidR="001E6A6A" w:rsidRPr="00DA67AB" w14:paraId="09A662A9" w14:textId="77777777" w:rsidTr="001A01E1">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A6EFA9" w14:textId="77777777" w:rsidR="001E6A6A" w:rsidRPr="00DA67AB" w:rsidRDefault="001E6A6A" w:rsidP="001A01E1">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Přepokládané zdroje financování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94510E8" w14:textId="52F947A9" w:rsidR="001E6A6A" w:rsidRPr="00691082" w:rsidRDefault="00691082" w:rsidP="001A01E1">
            <w:pPr>
              <w:spacing w:after="0" w:line="240" w:lineRule="auto"/>
              <w:rPr>
                <w:rFonts w:ascii="Calibri" w:eastAsia="Times New Roman" w:hAnsi="Calibri" w:cs="Times New Roman"/>
                <w:iCs/>
                <w:color w:val="4F81BD" w:themeColor="accent1"/>
                <w:lang w:eastAsia="cs-CZ"/>
              </w:rPr>
            </w:pPr>
            <w:r w:rsidRPr="00691082">
              <w:rPr>
                <w:rFonts w:ascii="Calibri" w:eastAsia="Times New Roman" w:hAnsi="Calibri" w:cs="Times New Roman"/>
                <w:iCs/>
                <w:lang w:eastAsia="cs-CZ"/>
              </w:rPr>
              <w:t>Státní rozpočet – Ministerstvo pro místní rozvoj</w:t>
            </w:r>
          </w:p>
        </w:tc>
      </w:tr>
    </w:tbl>
    <w:p w14:paraId="6F18F7BC" w14:textId="20D83EFA" w:rsidR="001E6A6A" w:rsidRDefault="001E6A6A" w:rsidP="00842171"/>
    <w:tbl>
      <w:tblPr>
        <w:tblW w:w="9568" w:type="dxa"/>
        <w:tblInd w:w="65" w:type="dxa"/>
        <w:tblCellMar>
          <w:left w:w="70" w:type="dxa"/>
          <w:right w:w="70" w:type="dxa"/>
        </w:tblCellMar>
        <w:tblLook w:val="04A0" w:firstRow="1" w:lastRow="0" w:firstColumn="1" w:lastColumn="0" w:noHBand="0" w:noVBand="1"/>
      </w:tblPr>
      <w:tblGrid>
        <w:gridCol w:w="2800"/>
        <w:gridCol w:w="6768"/>
      </w:tblGrid>
      <w:tr w:rsidR="00985366" w:rsidRPr="001E6A6A" w14:paraId="3382713B" w14:textId="77777777" w:rsidTr="00D6105E">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A14A4" w14:textId="77777777" w:rsidR="00985366" w:rsidRPr="00DA67AB" w:rsidRDefault="00985366" w:rsidP="00D6105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1285644" w14:textId="145CB0D7" w:rsidR="00985366" w:rsidRPr="00985366" w:rsidRDefault="00985366" w:rsidP="00D6105E">
            <w:pPr>
              <w:spacing w:after="0" w:line="240" w:lineRule="auto"/>
              <w:rPr>
                <w:b/>
              </w:rPr>
            </w:pPr>
            <w:r w:rsidRPr="00985366">
              <w:rPr>
                <w:b/>
              </w:rPr>
              <w:t>Zhodnocení a případná úprava podmínek programu Demolice v sociálně vyloučených lokalitách vč. navýšení alokace tohoto programu</w:t>
            </w:r>
          </w:p>
        </w:tc>
      </w:tr>
    </w:tbl>
    <w:p w14:paraId="5FD189F7" w14:textId="77777777" w:rsidR="00985366" w:rsidRDefault="00985366" w:rsidP="00842171"/>
    <w:tbl>
      <w:tblPr>
        <w:tblW w:w="9568" w:type="dxa"/>
        <w:tblInd w:w="65" w:type="dxa"/>
        <w:tblCellMar>
          <w:left w:w="70" w:type="dxa"/>
          <w:right w:w="70" w:type="dxa"/>
        </w:tblCellMar>
        <w:tblLook w:val="04A0" w:firstRow="1" w:lastRow="0" w:firstColumn="1" w:lastColumn="0" w:noHBand="0" w:noVBand="1"/>
      </w:tblPr>
      <w:tblGrid>
        <w:gridCol w:w="2800"/>
        <w:gridCol w:w="6768"/>
      </w:tblGrid>
      <w:tr w:rsidR="00567B6A" w:rsidRPr="001E6A6A" w14:paraId="49450AA3" w14:textId="77777777" w:rsidTr="00020AFE">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53ACF" w14:textId="77777777" w:rsidR="00567B6A" w:rsidRPr="00DA67AB" w:rsidRDefault="00567B6A" w:rsidP="00020AFE">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12650A33" w14:textId="245CB9F4" w:rsidR="00567B6A" w:rsidRPr="00985366" w:rsidRDefault="00567B6A" w:rsidP="00B0438C">
            <w:pPr>
              <w:spacing w:after="0" w:line="240" w:lineRule="auto"/>
              <w:jc w:val="both"/>
              <w:rPr>
                <w:b/>
              </w:rPr>
            </w:pPr>
            <w:r>
              <w:rPr>
                <w:b/>
              </w:rPr>
              <w:t>Připravit návrh programu revitalizace/resocializace již dříve rekultivovaných ploch a území po těžbě</w:t>
            </w:r>
          </w:p>
        </w:tc>
      </w:tr>
    </w:tbl>
    <w:p w14:paraId="0B606EF2" w14:textId="3E0161F1" w:rsidR="008D2149" w:rsidRDefault="008D2149" w:rsidP="00567B6A">
      <w:pPr>
        <w:rPr>
          <w:color w:val="FF0000"/>
        </w:rPr>
      </w:pPr>
    </w:p>
    <w:p w14:paraId="10D1F5CD" w14:textId="77777777" w:rsidR="00471158" w:rsidRDefault="00471158" w:rsidP="00471158">
      <w:pPr>
        <w:rPr>
          <w:b/>
          <w:color w:val="0000CC"/>
        </w:rPr>
      </w:pPr>
      <w:r>
        <w:rPr>
          <w:b/>
          <w:color w:val="0000CC"/>
        </w:rPr>
        <w:t>Některá s</w:t>
      </w:r>
      <w:r w:rsidRPr="00313DEF">
        <w:rPr>
          <w:b/>
          <w:color w:val="0000CC"/>
        </w:rPr>
        <w:t xml:space="preserve">pecifická opatření </w:t>
      </w:r>
      <w:r>
        <w:rPr>
          <w:b/>
          <w:color w:val="0000CC"/>
        </w:rPr>
        <w:t xml:space="preserve">navrhovaná </w:t>
      </w:r>
      <w:r w:rsidRPr="00313DEF">
        <w:rPr>
          <w:b/>
          <w:color w:val="0000CC"/>
        </w:rPr>
        <w:t>v krajích:</w:t>
      </w:r>
    </w:p>
    <w:tbl>
      <w:tblPr>
        <w:tblW w:w="9568" w:type="dxa"/>
        <w:tblInd w:w="65" w:type="dxa"/>
        <w:tblCellMar>
          <w:left w:w="70" w:type="dxa"/>
          <w:right w:w="70" w:type="dxa"/>
        </w:tblCellMar>
        <w:tblLook w:val="04A0" w:firstRow="1" w:lastRow="0" w:firstColumn="1" w:lastColumn="0" w:noHBand="0" w:noVBand="1"/>
      </w:tblPr>
      <w:tblGrid>
        <w:gridCol w:w="2800"/>
        <w:gridCol w:w="6768"/>
      </w:tblGrid>
      <w:tr w:rsidR="00471158" w:rsidRPr="00DA67AB" w14:paraId="13D762AE" w14:textId="77777777" w:rsidTr="009400C3">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F8021" w14:textId="77777777" w:rsidR="00471158" w:rsidRPr="00DA67AB" w:rsidRDefault="00471158" w:rsidP="009400C3">
            <w:pPr>
              <w:spacing w:after="0" w:line="240" w:lineRule="auto"/>
              <w:rPr>
                <w:rFonts w:ascii="Calibri" w:eastAsia="Times New Roman" w:hAnsi="Calibri" w:cs="Times New Roman"/>
                <w:b/>
                <w:bCs/>
                <w:color w:val="000000"/>
                <w:lang w:eastAsia="cs-CZ"/>
              </w:rPr>
            </w:pPr>
            <w:r w:rsidRPr="00DA67AB">
              <w:rPr>
                <w:rFonts w:ascii="Calibri" w:eastAsia="Times New Roman" w:hAnsi="Calibri" w:cs="Times New Roman"/>
                <w:b/>
                <w:bCs/>
                <w:color w:val="000000"/>
                <w:lang w:eastAsia="cs-CZ"/>
              </w:rPr>
              <w:t xml:space="preserve">Název opatření/programu:  </w:t>
            </w:r>
          </w:p>
        </w:tc>
        <w:tc>
          <w:tcPr>
            <w:tcW w:w="6768" w:type="dxa"/>
            <w:tcBorders>
              <w:top w:val="single" w:sz="4" w:space="0" w:color="auto"/>
              <w:left w:val="nil"/>
              <w:bottom w:val="single" w:sz="4" w:space="0" w:color="auto"/>
              <w:right w:val="single" w:sz="4" w:space="0" w:color="auto"/>
            </w:tcBorders>
            <w:shd w:val="clear" w:color="auto" w:fill="auto"/>
            <w:noWrap/>
            <w:vAlign w:val="center"/>
          </w:tcPr>
          <w:p w14:paraId="707356D7" w14:textId="57CC10DB" w:rsidR="00471158" w:rsidRPr="00603632" w:rsidRDefault="00471158" w:rsidP="009400C3">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 xml:space="preserve">Program Revitalizace Krušných hor </w:t>
            </w:r>
          </w:p>
        </w:tc>
      </w:tr>
    </w:tbl>
    <w:p w14:paraId="00A87179" w14:textId="77777777" w:rsidR="00471158" w:rsidRPr="008D2149" w:rsidRDefault="00471158" w:rsidP="006A054F">
      <w:pPr>
        <w:rPr>
          <w:color w:val="FF0000"/>
        </w:rPr>
      </w:pPr>
    </w:p>
    <w:sectPr w:rsidR="00471158" w:rsidRPr="008D2149" w:rsidSect="00EA1E5E">
      <w:headerReference w:type="default" r:id="rId8"/>
      <w:footerReference w:type="even" r:id="rId9"/>
      <w:footerReference w:type="default" r:id="rId10"/>
      <w:pgSz w:w="11906" w:h="16838"/>
      <w:pgMar w:top="1304" w:right="1361" w:bottom="130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D28599" w14:textId="77777777" w:rsidR="00003D9A" w:rsidRDefault="00003D9A" w:rsidP="00BC6528">
      <w:pPr>
        <w:spacing w:after="0" w:line="240" w:lineRule="auto"/>
      </w:pPr>
      <w:r>
        <w:separator/>
      </w:r>
    </w:p>
  </w:endnote>
  <w:endnote w:type="continuationSeparator" w:id="0">
    <w:p w14:paraId="2A8094A4" w14:textId="77777777" w:rsidR="00003D9A" w:rsidRDefault="00003D9A" w:rsidP="00BC6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C9EC7" w14:textId="77777777" w:rsidR="00B31DE4" w:rsidRDefault="00B31DE4" w:rsidP="007B5801">
    <w:pPr>
      <w:pStyle w:val="Zpat"/>
      <w:framePr w:wrap="none"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1A752301" w14:textId="77777777" w:rsidR="00B31DE4" w:rsidRDefault="00B31DE4" w:rsidP="00B31DE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B4D85" w14:textId="1710A1A2" w:rsidR="00B31DE4" w:rsidRDefault="00B31DE4" w:rsidP="007B5801">
    <w:pPr>
      <w:pStyle w:val="Zpat"/>
      <w:framePr w:wrap="none"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005FCA">
      <w:rPr>
        <w:rStyle w:val="slostrnky"/>
        <w:noProof/>
      </w:rPr>
      <w:t>1</w:t>
    </w:r>
    <w:r>
      <w:rPr>
        <w:rStyle w:val="slostrnky"/>
      </w:rPr>
      <w:fldChar w:fldCharType="end"/>
    </w:r>
  </w:p>
  <w:p w14:paraId="49F2F058" w14:textId="77777777" w:rsidR="00B31DE4" w:rsidRDefault="00B31DE4" w:rsidP="00B31DE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7B199" w14:textId="77777777" w:rsidR="00003D9A" w:rsidRDefault="00003D9A" w:rsidP="00BC6528">
      <w:pPr>
        <w:spacing w:after="0" w:line="240" w:lineRule="auto"/>
      </w:pPr>
      <w:r>
        <w:separator/>
      </w:r>
    </w:p>
  </w:footnote>
  <w:footnote w:type="continuationSeparator" w:id="0">
    <w:p w14:paraId="553AFE45" w14:textId="77777777" w:rsidR="00003D9A" w:rsidRDefault="00003D9A" w:rsidP="00BC65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AB400" w14:textId="471CB70D" w:rsidR="00E87A1F" w:rsidRDefault="00E87A1F" w:rsidP="00E87A1F">
    <w:pPr>
      <w:pStyle w:val="Zhlav"/>
      <w:jc w:val="right"/>
      <w:rPr>
        <w:b/>
        <w:sz w:val="52"/>
        <w:szCs w:val="52"/>
      </w:rPr>
    </w:pPr>
    <w:r w:rsidRPr="00E87A1F">
      <w:rPr>
        <w:b/>
        <w:sz w:val="52"/>
        <w:szCs w:val="52"/>
      </w:rPr>
      <w:t>F</w:t>
    </w:r>
  </w:p>
  <w:p w14:paraId="0788F908" w14:textId="77777777" w:rsidR="00E87A1F" w:rsidRPr="00E87A1F" w:rsidRDefault="00E87A1F" w:rsidP="00E87A1F">
    <w:pPr>
      <w:pStyle w:val="Zhlav"/>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39C"/>
    <w:multiLevelType w:val="hybridMultilevel"/>
    <w:tmpl w:val="4CACEA6E"/>
    <w:lvl w:ilvl="0" w:tplc="A78C4D3C">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DC1DF5"/>
    <w:multiLevelType w:val="hybridMultilevel"/>
    <w:tmpl w:val="F0908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D31ABC"/>
    <w:multiLevelType w:val="hybridMultilevel"/>
    <w:tmpl w:val="C0DC623C"/>
    <w:lvl w:ilvl="0" w:tplc="2C24DB4C">
      <w:numFmt w:val="bullet"/>
      <w:lvlText w:val="-"/>
      <w:lvlJc w:val="left"/>
      <w:pPr>
        <w:ind w:left="1430" w:hanging="71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0EB365E"/>
    <w:multiLevelType w:val="hybridMultilevel"/>
    <w:tmpl w:val="D5D84F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487DFA"/>
    <w:multiLevelType w:val="hybridMultilevel"/>
    <w:tmpl w:val="43CE8708"/>
    <w:lvl w:ilvl="0" w:tplc="6B0ABB7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3F005A"/>
    <w:multiLevelType w:val="hybridMultilevel"/>
    <w:tmpl w:val="486833DC"/>
    <w:lvl w:ilvl="0" w:tplc="2354D54C">
      <w:numFmt w:val="bullet"/>
      <w:lvlText w:val="-"/>
      <w:lvlJc w:val="left"/>
      <w:pPr>
        <w:ind w:left="1070" w:hanging="71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173E6B"/>
    <w:multiLevelType w:val="hybridMultilevel"/>
    <w:tmpl w:val="BB369648"/>
    <w:lvl w:ilvl="0" w:tplc="2354D54C">
      <w:numFmt w:val="bullet"/>
      <w:lvlText w:val="-"/>
      <w:lvlJc w:val="left"/>
      <w:pPr>
        <w:ind w:left="1070" w:hanging="71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7578C7"/>
    <w:multiLevelType w:val="hybridMultilevel"/>
    <w:tmpl w:val="1206E23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D54600"/>
    <w:multiLevelType w:val="hybridMultilevel"/>
    <w:tmpl w:val="81F4D916"/>
    <w:lvl w:ilvl="0" w:tplc="0B9E271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0100F65"/>
    <w:multiLevelType w:val="hybridMultilevel"/>
    <w:tmpl w:val="A13854CA"/>
    <w:lvl w:ilvl="0" w:tplc="2C24DB4C">
      <w:numFmt w:val="bullet"/>
      <w:lvlText w:val="-"/>
      <w:lvlJc w:val="left"/>
      <w:pPr>
        <w:ind w:left="710" w:hanging="71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3809629F"/>
    <w:multiLevelType w:val="hybridMultilevel"/>
    <w:tmpl w:val="66D0C3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620857"/>
    <w:multiLevelType w:val="hybridMultilevel"/>
    <w:tmpl w:val="5754C4BE"/>
    <w:lvl w:ilvl="0" w:tplc="2354D54C">
      <w:numFmt w:val="bullet"/>
      <w:lvlText w:val="-"/>
      <w:lvlJc w:val="left"/>
      <w:pPr>
        <w:ind w:left="1070" w:hanging="71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2D6A18"/>
    <w:multiLevelType w:val="hybridMultilevel"/>
    <w:tmpl w:val="EEEA1E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88F4BA7"/>
    <w:multiLevelType w:val="hybridMultilevel"/>
    <w:tmpl w:val="1B40E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30024A"/>
    <w:multiLevelType w:val="multilevel"/>
    <w:tmpl w:val="16CC067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49C433D1"/>
    <w:multiLevelType w:val="hybridMultilevel"/>
    <w:tmpl w:val="DA209738"/>
    <w:lvl w:ilvl="0" w:tplc="F6C452BE">
      <w:start w:val="7"/>
      <w:numFmt w:val="bullet"/>
      <w:lvlText w:val="-"/>
      <w:lvlJc w:val="left"/>
      <w:pPr>
        <w:ind w:left="720" w:hanging="360"/>
      </w:pPr>
      <w:rPr>
        <w:rFonts w:ascii="Calibri" w:eastAsia="Calibri" w:hAnsi="Calibri" w:cstheme="minorHAns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5C7043"/>
    <w:multiLevelType w:val="hybridMultilevel"/>
    <w:tmpl w:val="6E9498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3007A4"/>
    <w:multiLevelType w:val="hybridMultilevel"/>
    <w:tmpl w:val="B2CA62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9C54645"/>
    <w:multiLevelType w:val="hybridMultilevel"/>
    <w:tmpl w:val="82346300"/>
    <w:lvl w:ilvl="0" w:tplc="2C24DB4C">
      <w:numFmt w:val="bullet"/>
      <w:lvlText w:val="-"/>
      <w:lvlJc w:val="left"/>
      <w:pPr>
        <w:ind w:left="1070" w:hanging="71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6"/>
  </w:num>
  <w:num w:numId="4">
    <w:abstractNumId w:val="0"/>
  </w:num>
  <w:num w:numId="5">
    <w:abstractNumId w:val="17"/>
  </w:num>
  <w:num w:numId="6">
    <w:abstractNumId w:val="14"/>
  </w:num>
  <w:num w:numId="7">
    <w:abstractNumId w:val="3"/>
  </w:num>
  <w:num w:numId="8">
    <w:abstractNumId w:val="10"/>
  </w:num>
  <w:num w:numId="9">
    <w:abstractNumId w:val="1"/>
  </w:num>
  <w:num w:numId="10">
    <w:abstractNumId w:val="5"/>
  </w:num>
  <w:num w:numId="11">
    <w:abstractNumId w:val="11"/>
  </w:num>
  <w:num w:numId="12">
    <w:abstractNumId w:val="6"/>
  </w:num>
  <w:num w:numId="13">
    <w:abstractNumId w:val="18"/>
  </w:num>
  <w:num w:numId="14">
    <w:abstractNumId w:val="2"/>
  </w:num>
  <w:num w:numId="15">
    <w:abstractNumId w:val="9"/>
  </w:num>
  <w:num w:numId="16">
    <w:abstractNumId w:val="7"/>
  </w:num>
  <w:num w:numId="17">
    <w:abstractNumId w:val="8"/>
  </w:num>
  <w:num w:numId="18">
    <w:abstractNumId w:val="1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7AB"/>
    <w:rsid w:val="0000349B"/>
    <w:rsid w:val="00003D9A"/>
    <w:rsid w:val="00005FCA"/>
    <w:rsid w:val="00007C63"/>
    <w:rsid w:val="000101AD"/>
    <w:rsid w:val="00017EBD"/>
    <w:rsid w:val="000763CF"/>
    <w:rsid w:val="000F42C3"/>
    <w:rsid w:val="00102FBF"/>
    <w:rsid w:val="00115EA0"/>
    <w:rsid w:val="001348B3"/>
    <w:rsid w:val="00141FEC"/>
    <w:rsid w:val="00142CF3"/>
    <w:rsid w:val="00154C8E"/>
    <w:rsid w:val="00173278"/>
    <w:rsid w:val="00175A55"/>
    <w:rsid w:val="001E5ED6"/>
    <w:rsid w:val="001E6A6A"/>
    <w:rsid w:val="001F25B3"/>
    <w:rsid w:val="00242130"/>
    <w:rsid w:val="00246B8B"/>
    <w:rsid w:val="002500EA"/>
    <w:rsid w:val="00271F6E"/>
    <w:rsid w:val="003105B7"/>
    <w:rsid w:val="00313DEF"/>
    <w:rsid w:val="00324238"/>
    <w:rsid w:val="00367956"/>
    <w:rsid w:val="00370839"/>
    <w:rsid w:val="00391066"/>
    <w:rsid w:val="003B6FF3"/>
    <w:rsid w:val="003C19DF"/>
    <w:rsid w:val="003C3F50"/>
    <w:rsid w:val="003C5DFE"/>
    <w:rsid w:val="003E6E6C"/>
    <w:rsid w:val="003F3A72"/>
    <w:rsid w:val="00405274"/>
    <w:rsid w:val="004052AA"/>
    <w:rsid w:val="00461E61"/>
    <w:rsid w:val="00462E5E"/>
    <w:rsid w:val="0046391E"/>
    <w:rsid w:val="00471158"/>
    <w:rsid w:val="004769B6"/>
    <w:rsid w:val="004A2604"/>
    <w:rsid w:val="004D62BD"/>
    <w:rsid w:val="004F0DA1"/>
    <w:rsid w:val="00500E50"/>
    <w:rsid w:val="00514801"/>
    <w:rsid w:val="00520881"/>
    <w:rsid w:val="00567B6A"/>
    <w:rsid w:val="00582030"/>
    <w:rsid w:val="005E2EE4"/>
    <w:rsid w:val="0060024D"/>
    <w:rsid w:val="00603632"/>
    <w:rsid w:val="00604185"/>
    <w:rsid w:val="00643C46"/>
    <w:rsid w:val="006465EF"/>
    <w:rsid w:val="006838F4"/>
    <w:rsid w:val="006876FB"/>
    <w:rsid w:val="00691082"/>
    <w:rsid w:val="006A054F"/>
    <w:rsid w:val="006B0EFD"/>
    <w:rsid w:val="00716FA4"/>
    <w:rsid w:val="007666B1"/>
    <w:rsid w:val="00785EF0"/>
    <w:rsid w:val="007C1AFE"/>
    <w:rsid w:val="007C392C"/>
    <w:rsid w:val="007C55CF"/>
    <w:rsid w:val="008126C8"/>
    <w:rsid w:val="00842171"/>
    <w:rsid w:val="008568EE"/>
    <w:rsid w:val="00860C2D"/>
    <w:rsid w:val="008663B7"/>
    <w:rsid w:val="008669D2"/>
    <w:rsid w:val="00876A47"/>
    <w:rsid w:val="00892BA4"/>
    <w:rsid w:val="008A334B"/>
    <w:rsid w:val="008D2149"/>
    <w:rsid w:val="008F6BBD"/>
    <w:rsid w:val="0091322C"/>
    <w:rsid w:val="0093294C"/>
    <w:rsid w:val="009558D5"/>
    <w:rsid w:val="0096124B"/>
    <w:rsid w:val="009643E5"/>
    <w:rsid w:val="00985366"/>
    <w:rsid w:val="009D628A"/>
    <w:rsid w:val="009F5779"/>
    <w:rsid w:val="00A25B30"/>
    <w:rsid w:val="00A370AC"/>
    <w:rsid w:val="00A47897"/>
    <w:rsid w:val="00A513A8"/>
    <w:rsid w:val="00A62744"/>
    <w:rsid w:val="00A86945"/>
    <w:rsid w:val="00AC2CF5"/>
    <w:rsid w:val="00AE4795"/>
    <w:rsid w:val="00AF6C2E"/>
    <w:rsid w:val="00B030D3"/>
    <w:rsid w:val="00B0438C"/>
    <w:rsid w:val="00B05F05"/>
    <w:rsid w:val="00B11C5B"/>
    <w:rsid w:val="00B13A5D"/>
    <w:rsid w:val="00B31DE4"/>
    <w:rsid w:val="00B67E1F"/>
    <w:rsid w:val="00BC6528"/>
    <w:rsid w:val="00BE08F9"/>
    <w:rsid w:val="00BE6B70"/>
    <w:rsid w:val="00BF1CB3"/>
    <w:rsid w:val="00C10AD7"/>
    <w:rsid w:val="00C130A3"/>
    <w:rsid w:val="00C24EF8"/>
    <w:rsid w:val="00C32573"/>
    <w:rsid w:val="00C33905"/>
    <w:rsid w:val="00C5311E"/>
    <w:rsid w:val="00C54D5C"/>
    <w:rsid w:val="00C81377"/>
    <w:rsid w:val="00CB56FC"/>
    <w:rsid w:val="00CD788B"/>
    <w:rsid w:val="00D371A0"/>
    <w:rsid w:val="00D466DB"/>
    <w:rsid w:val="00D53756"/>
    <w:rsid w:val="00D6226A"/>
    <w:rsid w:val="00D67B3F"/>
    <w:rsid w:val="00D84731"/>
    <w:rsid w:val="00DA67AB"/>
    <w:rsid w:val="00DD3FEB"/>
    <w:rsid w:val="00DD70C7"/>
    <w:rsid w:val="00E17B2B"/>
    <w:rsid w:val="00E21D71"/>
    <w:rsid w:val="00E265C7"/>
    <w:rsid w:val="00E46026"/>
    <w:rsid w:val="00E54AAA"/>
    <w:rsid w:val="00E62654"/>
    <w:rsid w:val="00E81CB6"/>
    <w:rsid w:val="00E87A1F"/>
    <w:rsid w:val="00EA1E5E"/>
    <w:rsid w:val="00EC4D6D"/>
    <w:rsid w:val="00F34FD7"/>
    <w:rsid w:val="00FC79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715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C65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C6528"/>
  </w:style>
  <w:style w:type="paragraph" w:styleId="Zpat">
    <w:name w:val="footer"/>
    <w:basedOn w:val="Normln"/>
    <w:link w:val="ZpatChar"/>
    <w:uiPriority w:val="99"/>
    <w:unhideWhenUsed/>
    <w:rsid w:val="00BC6528"/>
    <w:pPr>
      <w:tabs>
        <w:tab w:val="center" w:pos="4536"/>
        <w:tab w:val="right" w:pos="9072"/>
      </w:tabs>
      <w:spacing w:after="0" w:line="240" w:lineRule="auto"/>
    </w:pPr>
  </w:style>
  <w:style w:type="character" w:customStyle="1" w:styleId="ZpatChar">
    <w:name w:val="Zápatí Char"/>
    <w:basedOn w:val="Standardnpsmoodstavce"/>
    <w:link w:val="Zpat"/>
    <w:uiPriority w:val="99"/>
    <w:rsid w:val="00BC6528"/>
  </w:style>
  <w:style w:type="paragraph" w:styleId="Odstavecseseznamem">
    <w:name w:val="List Paragraph"/>
    <w:basedOn w:val="Normln"/>
    <w:link w:val="OdstavecseseznamemChar"/>
    <w:uiPriority w:val="34"/>
    <w:qFormat/>
    <w:rsid w:val="00FC798B"/>
    <w:pPr>
      <w:ind w:left="720"/>
      <w:contextualSpacing/>
    </w:pPr>
    <w:rPr>
      <w:rFonts w:ascii="Calibri" w:eastAsia="Calibri" w:hAnsi="Calibri" w:cs="Times New Roman"/>
    </w:rPr>
  </w:style>
  <w:style w:type="character" w:styleId="Odkaznakoment">
    <w:name w:val="annotation reference"/>
    <w:basedOn w:val="Standardnpsmoodstavce"/>
    <w:uiPriority w:val="99"/>
    <w:semiHidden/>
    <w:unhideWhenUsed/>
    <w:rsid w:val="008568EE"/>
    <w:rPr>
      <w:sz w:val="16"/>
      <w:szCs w:val="16"/>
    </w:rPr>
  </w:style>
  <w:style w:type="paragraph" w:styleId="Textkomente">
    <w:name w:val="annotation text"/>
    <w:basedOn w:val="Normln"/>
    <w:link w:val="TextkomenteChar"/>
    <w:uiPriority w:val="99"/>
    <w:semiHidden/>
    <w:unhideWhenUsed/>
    <w:rsid w:val="008568EE"/>
    <w:pPr>
      <w:spacing w:line="240" w:lineRule="auto"/>
    </w:pPr>
    <w:rPr>
      <w:rFonts w:ascii="Calibri" w:eastAsia="Calibri" w:hAnsi="Calibri" w:cs="Times New Roman"/>
      <w:sz w:val="20"/>
      <w:szCs w:val="20"/>
    </w:rPr>
  </w:style>
  <w:style w:type="character" w:customStyle="1" w:styleId="TextkomenteChar">
    <w:name w:val="Text komentáře Char"/>
    <w:basedOn w:val="Standardnpsmoodstavce"/>
    <w:link w:val="Textkomente"/>
    <w:uiPriority w:val="99"/>
    <w:semiHidden/>
    <w:rsid w:val="008568EE"/>
    <w:rPr>
      <w:rFonts w:ascii="Calibri" w:eastAsia="Calibri" w:hAnsi="Calibri" w:cs="Times New Roman"/>
      <w:sz w:val="20"/>
      <w:szCs w:val="20"/>
    </w:rPr>
  </w:style>
  <w:style w:type="paragraph" w:styleId="Textbubliny">
    <w:name w:val="Balloon Text"/>
    <w:basedOn w:val="Normln"/>
    <w:link w:val="TextbublinyChar"/>
    <w:uiPriority w:val="99"/>
    <w:semiHidden/>
    <w:unhideWhenUsed/>
    <w:rsid w:val="008568EE"/>
    <w:pPr>
      <w:spacing w:after="0" w:line="240" w:lineRule="auto"/>
    </w:pPr>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8568EE"/>
    <w:rPr>
      <w:rFonts w:ascii="Times New Roman" w:hAnsi="Times New Roman" w:cs="Times New Roman"/>
      <w:sz w:val="18"/>
      <w:szCs w:val="18"/>
    </w:rPr>
  </w:style>
  <w:style w:type="character" w:customStyle="1" w:styleId="OdstavecseseznamemChar">
    <w:name w:val="Odstavec se seznamem Char"/>
    <w:basedOn w:val="Standardnpsmoodstavce"/>
    <w:link w:val="Odstavecseseznamem"/>
    <w:uiPriority w:val="34"/>
    <w:rsid w:val="00D53756"/>
    <w:rPr>
      <w:rFonts w:ascii="Calibri" w:eastAsia="Calibri" w:hAnsi="Calibri" w:cs="Times New Roman"/>
    </w:rPr>
  </w:style>
  <w:style w:type="character" w:styleId="slostrnky">
    <w:name w:val="page number"/>
    <w:basedOn w:val="Standardnpsmoodstavce"/>
    <w:uiPriority w:val="99"/>
    <w:semiHidden/>
    <w:unhideWhenUsed/>
    <w:rsid w:val="00B31DE4"/>
  </w:style>
  <w:style w:type="paragraph" w:styleId="Pedmtkomente">
    <w:name w:val="annotation subject"/>
    <w:basedOn w:val="Textkomente"/>
    <w:next w:val="Textkomente"/>
    <w:link w:val="PedmtkomenteChar"/>
    <w:uiPriority w:val="99"/>
    <w:semiHidden/>
    <w:unhideWhenUsed/>
    <w:rsid w:val="00E62654"/>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E62654"/>
    <w:rPr>
      <w:rFonts w:ascii="Calibri" w:eastAsia="Calibri" w:hAnsi="Calibri" w:cs="Times New Roman"/>
      <w:b/>
      <w:bCs/>
      <w:sz w:val="20"/>
      <w:szCs w:val="20"/>
    </w:rPr>
  </w:style>
  <w:style w:type="table" w:styleId="Mkatabulky">
    <w:name w:val="Table Grid"/>
    <w:basedOn w:val="Normlntabulka"/>
    <w:uiPriority w:val="59"/>
    <w:rsid w:val="00A86945"/>
    <w:pPr>
      <w:spacing w:after="0" w:line="240" w:lineRule="auto"/>
    </w:pPr>
    <w:rPr>
      <w:rFonts w:eastAsiaTheme="minorEastAsia"/>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6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E59C7-7B1E-496A-81EE-57768442C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1179</Words>
  <Characters>6957</Characters>
  <Application>Microsoft Office Word</Application>
  <DocSecurity>0</DocSecurity>
  <Lines>57</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Hon</dc:creator>
  <cp:lastModifiedBy>jelena.kriegelsteinova</cp:lastModifiedBy>
  <cp:revision>2</cp:revision>
  <cp:lastPrinted>2017-03-06T08:23:00Z</cp:lastPrinted>
  <dcterms:created xsi:type="dcterms:W3CDTF">2017-03-06T08:29:00Z</dcterms:created>
  <dcterms:modified xsi:type="dcterms:W3CDTF">2017-03-06T08:29:00Z</dcterms:modified>
</cp:coreProperties>
</file>