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9D9BC" w14:textId="45E51D9D" w:rsidR="00E7772D" w:rsidRPr="00456BA5" w:rsidRDefault="00E4615D" w:rsidP="00456BA5">
      <w:pPr>
        <w:pStyle w:val="Nzev"/>
        <w:rPr>
          <w:sz w:val="44"/>
          <w:szCs w:val="44"/>
        </w:rPr>
      </w:pPr>
      <w:bookmarkStart w:id="0" w:name="_GoBack"/>
      <w:r w:rsidRPr="00456BA5">
        <w:rPr>
          <w:sz w:val="44"/>
          <w:szCs w:val="44"/>
        </w:rPr>
        <w:t>Zpráva o hodn</w:t>
      </w:r>
      <w:r w:rsidR="00CB1049">
        <w:rPr>
          <w:sz w:val="44"/>
          <w:szCs w:val="44"/>
        </w:rPr>
        <w:t>ocení plnění R</w:t>
      </w:r>
      <w:r w:rsidR="000414E4" w:rsidRPr="00456BA5">
        <w:rPr>
          <w:sz w:val="44"/>
          <w:szCs w:val="44"/>
        </w:rPr>
        <w:t>egionálních akční</w:t>
      </w:r>
      <w:r w:rsidRPr="00456BA5">
        <w:rPr>
          <w:sz w:val="44"/>
          <w:szCs w:val="44"/>
        </w:rPr>
        <w:t>ch plánů</w:t>
      </w:r>
      <w:r w:rsidR="00350E87" w:rsidRPr="00456BA5">
        <w:rPr>
          <w:sz w:val="44"/>
          <w:szCs w:val="44"/>
        </w:rPr>
        <w:t xml:space="preserve"> za Karlovarský kraj</w:t>
      </w:r>
    </w:p>
    <w:bookmarkEnd w:id="0"/>
    <w:p w14:paraId="44FE4F27" w14:textId="77777777" w:rsidR="00C84A9E" w:rsidRPr="00456BA5" w:rsidRDefault="007A5F9B" w:rsidP="00456BA5">
      <w:pPr>
        <w:pStyle w:val="Nadpis1"/>
        <w:numPr>
          <w:ilvl w:val="0"/>
          <w:numId w:val="11"/>
        </w:numPr>
      </w:pPr>
      <w:r w:rsidRPr="00456BA5">
        <w:t>Úvod</w:t>
      </w:r>
    </w:p>
    <w:p w14:paraId="024EBDDB" w14:textId="7D3D27C2" w:rsidR="000967D5" w:rsidRPr="00456BA5" w:rsidRDefault="001431F7" w:rsidP="000967D5">
      <w:pPr>
        <w:jc w:val="both"/>
      </w:pPr>
      <w:r w:rsidRPr="00456BA5">
        <w:t>Regionální akční plán</w:t>
      </w:r>
      <w:r w:rsidR="00482606" w:rsidRPr="00456BA5">
        <w:t xml:space="preserve"> (RAP)</w:t>
      </w:r>
      <w:r w:rsidRPr="00456BA5">
        <w:t xml:space="preserve"> má za cíl provázat aktivity realizované v rámci územní dimenze operačních programů s ostatními rozvojovými aktivitami, které jsou realizovány </w:t>
      </w:r>
      <w:r w:rsidR="00482606" w:rsidRPr="00456BA5">
        <w:t xml:space="preserve">jednotlivými aktéry z územního obvodu kraje. Tvorba a sledování RAP je dlouhodobý proces, který zajišťuje sekretariát regionální stále konference. </w:t>
      </w:r>
      <w:r w:rsidR="00F667A3" w:rsidRPr="00456BA5">
        <w:t xml:space="preserve">Prostřednictvím RAP jsou ve sledovaném území vyhodnocovány předpoklady čerpání finančních prostředků především ze zdrojů fondů ESIF. </w:t>
      </w:r>
    </w:p>
    <w:p w14:paraId="2E2B4A45" w14:textId="04287821" w:rsidR="00F667A3" w:rsidRPr="00456BA5" w:rsidRDefault="00F667A3" w:rsidP="000967D5">
      <w:pPr>
        <w:jc w:val="both"/>
      </w:pPr>
      <w:r w:rsidRPr="00456BA5">
        <w:t xml:space="preserve">Tato zpráva se zaměří na </w:t>
      </w:r>
      <w:r w:rsidR="00CA6003" w:rsidRPr="00456BA5">
        <w:t xml:space="preserve">plnění RAP za rok 2016. Jedná se o dokument schválený Regionální stálou konferencí v září roku 2016. </w:t>
      </w:r>
    </w:p>
    <w:p w14:paraId="37F66FB6" w14:textId="5B917365" w:rsidR="00CA6003" w:rsidRPr="00456BA5" w:rsidRDefault="00CA6003" w:rsidP="000967D5">
      <w:pPr>
        <w:jc w:val="both"/>
      </w:pPr>
      <w:r w:rsidRPr="00456BA5">
        <w:t>Pro vyhodnocení RAP jsou použity data získané z informačního systému, který agreguje data z jednotlivých operačních programů.</w:t>
      </w:r>
      <w:r w:rsidR="00CB76DD" w:rsidRPr="00456BA5">
        <w:t xml:space="preserve"> </w:t>
      </w:r>
      <w:r w:rsidRPr="00456BA5">
        <w:t xml:space="preserve">Data </w:t>
      </w:r>
      <w:r w:rsidR="00CB76DD" w:rsidRPr="00456BA5">
        <w:t>byly</w:t>
      </w:r>
      <w:r w:rsidRPr="00456BA5">
        <w:t xml:space="preserve"> zpracovány do výstupní sestavy k datu 31. 12. 2016. Sestava je poskytována sekretariátům stále konference Ministerstvem pro místní rozvoj</w:t>
      </w:r>
      <w:r w:rsidR="00CB76DD" w:rsidRPr="00456BA5">
        <w:t>,</w:t>
      </w:r>
      <w:r w:rsidRPr="00456BA5">
        <w:t xml:space="preserve"> odborem regionální politiky.</w:t>
      </w:r>
      <w:r w:rsidR="003F7B5F" w:rsidRPr="00456BA5">
        <w:t xml:space="preserve"> Pro vyhodnocení se použili data dle jednotlivých stavů projektů, které lze rozdělit do tří hlavních skupin a to registrované, schválené a realizované. Postupně byla data z uvedené sestavy vyhodnocena dle specifických cílů, dle územního rozložení a dle naplňování finančních předpokladů čerpání.    </w:t>
      </w:r>
    </w:p>
    <w:p w14:paraId="123D66AE" w14:textId="4E90634F" w:rsidR="00F624CB" w:rsidRPr="00456BA5" w:rsidRDefault="00877ADF" w:rsidP="00456BA5">
      <w:pPr>
        <w:pStyle w:val="Nadpis1"/>
        <w:numPr>
          <w:ilvl w:val="0"/>
          <w:numId w:val="11"/>
        </w:numPr>
      </w:pPr>
      <w:r w:rsidRPr="00456BA5">
        <w:t xml:space="preserve">Analýza využití finančních prostředků z ESIF </w:t>
      </w:r>
    </w:p>
    <w:p w14:paraId="0105EB3C" w14:textId="2232484A" w:rsidR="003F7B5F" w:rsidRDefault="007C3579" w:rsidP="003F7B5F">
      <w:pPr>
        <w:spacing w:before="240" w:after="120"/>
        <w:jc w:val="both"/>
      </w:pPr>
      <w:r w:rsidRPr="00456BA5">
        <w:t xml:space="preserve">V této kapitole je vyhodnoceno čerpání na úrovni jednotlivých specifických cílů dle operačních programů. Ve vyhodnocení by měli být odděleně uvedeny </w:t>
      </w:r>
      <w:r w:rsidR="003413DA" w:rsidRPr="00456BA5">
        <w:t xml:space="preserve">data za integrované nástroje. Těmi jsou v Karlovarském kraji </w:t>
      </w:r>
      <w:r w:rsidR="00CB76DD" w:rsidRPr="00456BA5">
        <w:t>Integrovaný plán rozvoje území (</w:t>
      </w:r>
      <w:r w:rsidR="003413DA" w:rsidRPr="00456BA5">
        <w:t>IPRÚ</w:t>
      </w:r>
      <w:r w:rsidR="00CB76DD" w:rsidRPr="00456BA5">
        <w:t>)</w:t>
      </w:r>
      <w:r w:rsidR="003413DA" w:rsidRPr="00456BA5">
        <w:t xml:space="preserve"> a </w:t>
      </w:r>
      <w:r w:rsidR="00CB76DD" w:rsidRPr="00456BA5">
        <w:t>Komunitně vedený místní rozvoj (</w:t>
      </w:r>
      <w:r w:rsidR="003413DA" w:rsidRPr="00456BA5">
        <w:t>CLLD</w:t>
      </w:r>
      <w:r w:rsidR="00CB76DD" w:rsidRPr="00456BA5">
        <w:t>)</w:t>
      </w:r>
      <w:r w:rsidR="003413DA" w:rsidRPr="00456BA5">
        <w:t xml:space="preserve">. V roce 2016 však dosud nedošlo k čerpání prostřednictvím </w:t>
      </w:r>
      <w:r w:rsidR="00CB76DD" w:rsidRPr="00456BA5">
        <w:t>integrovaných nástrojů</w:t>
      </w:r>
      <w:r w:rsidR="003413DA" w:rsidRPr="00456BA5">
        <w:t xml:space="preserve"> a tak k vyhodnocení bude přistoupeno až ve správě za rok 2017. </w:t>
      </w:r>
    </w:p>
    <w:p w14:paraId="1809F137" w14:textId="2CD3CC4C" w:rsidR="00456BA5" w:rsidRPr="00456BA5" w:rsidRDefault="00456BA5" w:rsidP="002E0786">
      <w:pPr>
        <w:pStyle w:val="Nadpis3"/>
        <w:contextualSpacing/>
      </w:pPr>
      <w:r w:rsidRPr="00456BA5">
        <w:t>Na úrovni specifických cílů</w:t>
      </w:r>
    </w:p>
    <w:p w14:paraId="4FD9E393" w14:textId="5DA863D0" w:rsidR="002E0786" w:rsidRDefault="00F3161F" w:rsidP="002E0786">
      <w:pPr>
        <w:spacing w:after="240"/>
        <w:contextualSpacing/>
        <w:jc w:val="both"/>
      </w:pPr>
      <w:r w:rsidRPr="00456BA5">
        <w:t xml:space="preserve">Pro účely provedení analýzy </w:t>
      </w:r>
      <w:r w:rsidR="000E01A6" w:rsidRPr="00456BA5">
        <w:t>čerpání dle specifických cílů jednotlivých operačních programů</w:t>
      </w:r>
      <w:r w:rsidR="003573F3">
        <w:t xml:space="preserve"> byl</w:t>
      </w:r>
      <w:r w:rsidR="002E0786">
        <w:t xml:space="preserve">y </w:t>
      </w:r>
      <w:r w:rsidR="003573F3">
        <w:t>na základě dat z výstupní sestavy zpracován</w:t>
      </w:r>
      <w:r w:rsidR="002E0786">
        <w:t>y</w:t>
      </w:r>
      <w:r w:rsidR="003573F3">
        <w:t xml:space="preserve"> tabulk</w:t>
      </w:r>
      <w:r w:rsidR="002E0786">
        <w:t>y</w:t>
      </w:r>
      <w:r w:rsidR="003573F3">
        <w:t xml:space="preserve"> za jednotlivé operační programy a vždy v členění předložené projekty, schvalované projekty a realizované projekty</w:t>
      </w:r>
      <w:r w:rsidR="003B7F33">
        <w:t xml:space="preserve"> (příloha č</w:t>
      </w:r>
      <w:r w:rsidR="003573F3">
        <w:t>.</w:t>
      </w:r>
      <w:r w:rsidR="003B7F33">
        <w:t xml:space="preserve"> 1)</w:t>
      </w:r>
      <w:r w:rsidR="003573F3">
        <w:t xml:space="preserve"> </w:t>
      </w:r>
    </w:p>
    <w:p w14:paraId="6C03518F" w14:textId="00AD68BC" w:rsidR="00AD0A60" w:rsidRPr="00456BA5" w:rsidRDefault="003573F3" w:rsidP="002E0786">
      <w:pPr>
        <w:spacing w:before="240" w:after="120"/>
        <w:jc w:val="both"/>
      </w:pPr>
      <w:r>
        <w:t>J</w:t>
      </w:r>
      <w:r w:rsidR="000E01A6" w:rsidRPr="00456BA5">
        <w:t xml:space="preserve">e třeba uvést, že současná úroveň </w:t>
      </w:r>
      <w:r w:rsidR="002E0786">
        <w:t>realizace projektů</w:t>
      </w:r>
      <w:r w:rsidR="000E01A6" w:rsidRPr="00456BA5">
        <w:t xml:space="preserve"> je </w:t>
      </w:r>
      <w:r w:rsidR="00AD0A60" w:rsidRPr="00456BA5">
        <w:t xml:space="preserve">nižší než </w:t>
      </w:r>
      <w:r w:rsidR="000E01A6" w:rsidRPr="00456BA5">
        <w:t xml:space="preserve">předpoklady uváděné v RAP. </w:t>
      </w:r>
      <w:r w:rsidR="00456BA5" w:rsidRPr="00456BA5">
        <w:t>Je možné identifikovat různé důvody</w:t>
      </w:r>
      <w:r w:rsidR="00F8260F" w:rsidRPr="00456BA5">
        <w:t xml:space="preserve">. Někteří žadatelé </w:t>
      </w:r>
      <w:r w:rsidR="00CB76DD" w:rsidRPr="00456BA5">
        <w:t>se rozhodli</w:t>
      </w:r>
      <w:r w:rsidR="00F8260F" w:rsidRPr="00456BA5">
        <w:t xml:space="preserve"> předložit projekty až do dalších výzev</w:t>
      </w:r>
      <w:r w:rsidR="00AD0A60" w:rsidRPr="00456BA5">
        <w:t xml:space="preserve"> v roce 2017.</w:t>
      </w:r>
      <w:r w:rsidR="000E01A6" w:rsidRPr="00456BA5">
        <w:t xml:space="preserve"> </w:t>
      </w:r>
      <w:r w:rsidR="00AD0A60" w:rsidRPr="00456BA5">
        <w:t>Některé projekty byly předloženy již v</w:t>
      </w:r>
      <w:r w:rsidR="00CB76DD" w:rsidRPr="00456BA5">
        <w:t> </w:t>
      </w:r>
      <w:r w:rsidR="00AD0A60" w:rsidRPr="00456BA5">
        <w:t>roce</w:t>
      </w:r>
      <w:r w:rsidR="00CB76DD" w:rsidRPr="00456BA5">
        <w:t xml:space="preserve"> 2016</w:t>
      </w:r>
      <w:r w:rsidR="00AD0A60" w:rsidRPr="00456BA5">
        <w:t>, ale díky procesu hodnocení nebyla zahájena jejich fyzická realizace.</w:t>
      </w:r>
      <w:r w:rsidR="00456BA5" w:rsidRPr="00456BA5">
        <w:t xml:space="preserve"> Relevantním důvodem může být i zdržení vydání závazného příslibu financování.</w:t>
      </w:r>
    </w:p>
    <w:p w14:paraId="61E00A3E" w14:textId="1A73C48E" w:rsidR="00F3161F" w:rsidRPr="00456BA5" w:rsidRDefault="00AD0A60" w:rsidP="003F7B5F">
      <w:pPr>
        <w:spacing w:before="240" w:after="120"/>
        <w:jc w:val="both"/>
      </w:pPr>
      <w:r w:rsidRPr="00456BA5">
        <w:t>Velký finanční objem je realizován ve specifických cílech zaměřených na podporu zaměstnanosti. Dále i cíle řešící systém zdravotní péče již vykazují realizaci projektů.</w:t>
      </w:r>
    </w:p>
    <w:p w14:paraId="4C8635CA" w14:textId="48AC60CA" w:rsidR="00AD0A60" w:rsidRPr="00456BA5" w:rsidRDefault="00AD0A60" w:rsidP="003F7B5F">
      <w:pPr>
        <w:spacing w:before="240" w:after="120"/>
        <w:jc w:val="both"/>
      </w:pPr>
      <w:r w:rsidRPr="00456BA5">
        <w:t>Naopak pomalejší rozjez</w:t>
      </w:r>
      <w:r w:rsidR="00B004F9" w:rsidRPr="00456BA5">
        <w:t>d</w:t>
      </w:r>
      <w:r w:rsidRPr="00456BA5">
        <w:t xml:space="preserve"> avizuje </w:t>
      </w:r>
      <w:r w:rsidR="00B004F9" w:rsidRPr="00456BA5">
        <w:t xml:space="preserve">aktivity spadající do specifických cílů zaměřených na oblast dopravy. Zde je však třeba říci, že projekty předložené v roce 2016 byly, nicméně </w:t>
      </w:r>
      <w:r w:rsidR="00B004F9" w:rsidRPr="00456BA5">
        <w:lastRenderedPageBreak/>
        <w:t>s jejich fyzickou realizací se nezačalo. Menší objem vykazují i další specifické cíle. Především oblast vzdělávání</w:t>
      </w:r>
      <w:r w:rsidR="00F166BB" w:rsidRPr="00456BA5">
        <w:t xml:space="preserve"> a životního prostředí.</w:t>
      </w:r>
      <w:r w:rsidR="00B004F9" w:rsidRPr="00456BA5">
        <w:t xml:space="preserve"> </w:t>
      </w:r>
    </w:p>
    <w:p w14:paraId="117F7921" w14:textId="54515973" w:rsidR="000C10D4" w:rsidRPr="00456BA5" w:rsidRDefault="000C10D4" w:rsidP="00456BA5">
      <w:pPr>
        <w:pStyle w:val="Nadpis3"/>
      </w:pPr>
      <w:r w:rsidRPr="00456BA5">
        <w:t xml:space="preserve">Na úrovni </w:t>
      </w:r>
      <w:r w:rsidR="003C20E7" w:rsidRPr="00456BA5">
        <w:t xml:space="preserve">jednotlivých </w:t>
      </w:r>
      <w:r w:rsidRPr="00456BA5">
        <w:t xml:space="preserve">aktivit </w:t>
      </w:r>
    </w:p>
    <w:p w14:paraId="45FEB3EE" w14:textId="7869AAF0" w:rsidR="00F166BB" w:rsidRPr="00456BA5" w:rsidRDefault="00F166BB" w:rsidP="00456BA5">
      <w:pPr>
        <w:jc w:val="both"/>
      </w:pPr>
      <w:r w:rsidRPr="00456BA5">
        <w:t>Jednotlivé aktivity RAP jsou rozpracované do Karet aktivit, které tvoří přílohu č</w:t>
      </w:r>
      <w:r w:rsidR="00583E0D" w:rsidRPr="00456BA5">
        <w:t xml:space="preserve">. </w:t>
      </w:r>
      <w:r w:rsidRPr="00456BA5">
        <w:t xml:space="preserve">2 tohoto dokumentu. Aktivity RAP pro potřeby této zprávy byly agregovány do deseti skupin. </w:t>
      </w:r>
      <w:r w:rsidR="00D07934" w:rsidRPr="00456BA5">
        <w:t>Některé jsou již realizovány</w:t>
      </w:r>
      <w:r w:rsidRPr="00456BA5">
        <w:t xml:space="preserve"> </w:t>
      </w:r>
      <w:r w:rsidR="00D07934" w:rsidRPr="00456BA5">
        <w:t xml:space="preserve">prostřednictvím předložených </w:t>
      </w:r>
      <w:r w:rsidRPr="00456BA5">
        <w:t>projektů.</w:t>
      </w:r>
      <w:r w:rsidR="00D07934" w:rsidRPr="00456BA5">
        <w:t xml:space="preserve"> </w:t>
      </w:r>
      <w:r w:rsidR="003B7F33">
        <w:t>V </w:t>
      </w:r>
      <w:r w:rsidR="00D07934" w:rsidRPr="00456BA5">
        <w:t>každé</w:t>
      </w:r>
      <w:r w:rsidR="003B7F33">
        <w:t xml:space="preserve"> kartě</w:t>
      </w:r>
      <w:r w:rsidR="00D07934" w:rsidRPr="00456BA5">
        <w:t xml:space="preserve"> je uveden počet projektů ve fázi fyzické realizace</w:t>
      </w:r>
      <w:r w:rsidR="00C57453" w:rsidRPr="00456BA5">
        <w:t xml:space="preserve"> a výše finančního příspěvku EU.</w:t>
      </w:r>
    </w:p>
    <w:p w14:paraId="03CD7EE4" w14:textId="5A55AA85" w:rsidR="00DC2A5B" w:rsidRPr="00456BA5" w:rsidRDefault="00D725E0" w:rsidP="00583E0D">
      <w:pPr>
        <w:jc w:val="both"/>
      </w:pPr>
      <w:r w:rsidRPr="00456BA5">
        <w:t xml:space="preserve">Byly však identifikovány i oblasti, ve kterých zatím nejsou realizovány žádné projekty. </w:t>
      </w:r>
      <w:r w:rsidR="00DC2A5B" w:rsidRPr="00456BA5">
        <w:t xml:space="preserve">Jednou z nich je Výzkum, vývoj, inovace. Zde je však třeba upozornit na skutečnost, že již v průběhu roku byl zahájen projekt z OP </w:t>
      </w:r>
      <w:r w:rsidR="00104B67">
        <w:t>Výzkum, vývoj a vzdělávání</w:t>
      </w:r>
      <w:r w:rsidR="00DC2A5B" w:rsidRPr="00456BA5">
        <w:t xml:space="preserve"> s názvem Smart Akcelerátor, nicméně v rámci dat uvedených v sestavě z Informačních systémů nebyl k 31. 12. 2016 veden jako projekt v realizaci a z tohoto důvod</w:t>
      </w:r>
      <w:r w:rsidR="003B7F33">
        <w:t>u</w:t>
      </w:r>
      <w:r w:rsidR="00DC2A5B" w:rsidRPr="00456BA5">
        <w:t xml:space="preserve"> není možné ho uvést do příslušné karty.</w:t>
      </w:r>
    </w:p>
    <w:p w14:paraId="1BEB3DCB" w14:textId="1E09CD4B" w:rsidR="00DC2A5B" w:rsidRPr="00456BA5" w:rsidRDefault="00DC2A5B" w:rsidP="00583E0D">
      <w:pPr>
        <w:jc w:val="both"/>
      </w:pPr>
      <w:r w:rsidRPr="00456BA5">
        <w:t>Další oblastí, ve které nebyly realizované žádné projekty, je oblast Cestovní ruch a lázeňství. Zde je třeba říci, že významná alokace byla plánována až na rok 2017 a další roky.</w:t>
      </w:r>
    </w:p>
    <w:p w14:paraId="5BFF65F4" w14:textId="498AC194" w:rsidR="00D725E0" w:rsidRPr="00456BA5" w:rsidRDefault="00DC2A5B" w:rsidP="00583E0D">
      <w:pPr>
        <w:jc w:val="both"/>
      </w:pPr>
      <w:r w:rsidRPr="00456BA5">
        <w:t>Menší výkonnost vykazuje i oblast Dopravy</w:t>
      </w:r>
      <w:r w:rsidR="00C97B21" w:rsidRPr="00456BA5">
        <w:t xml:space="preserve">. Jak však bylo uvedeno v předešlé kapitole, projekty byly předloženy, ale v průběhu roku 2016 probíhalo jejich vyhodnocení. I v této oblasti platí, že se předpokládá, že značný finanční objem bude </w:t>
      </w:r>
      <w:r w:rsidR="003B7F33">
        <w:t>realizován</w:t>
      </w:r>
      <w:r w:rsidR="00C97B21" w:rsidRPr="00456BA5">
        <w:t xml:space="preserve"> až v roce 2017 a 2018.</w:t>
      </w:r>
    </w:p>
    <w:p w14:paraId="3E3F0CAA" w14:textId="43980185" w:rsidR="00C97B21" w:rsidRPr="00456BA5" w:rsidRDefault="00C97B21" w:rsidP="00583E0D">
      <w:pPr>
        <w:jc w:val="both"/>
      </w:pPr>
      <w:r w:rsidRPr="00456BA5">
        <w:t xml:space="preserve">Výrazně větší efektivitu je možné zaznamenat v oblasti Zdravotní péče. Finanční objem realizovaných projektů předběhl plán, ve kterém se </w:t>
      </w:r>
      <w:r w:rsidR="003B7F33">
        <w:t>předpokládala</w:t>
      </w:r>
      <w:r w:rsidRPr="00456BA5">
        <w:t xml:space="preserve"> realizace projektů především v roce 2017. Toto je možno vnímat jako pozitivní skutečnost a je třeba na to navázat i v </w:t>
      </w:r>
      <w:r w:rsidR="003B7F33">
        <w:t>ostatních</w:t>
      </w:r>
      <w:r w:rsidRPr="00456BA5">
        <w:t xml:space="preserve"> oblastech.</w:t>
      </w:r>
    </w:p>
    <w:p w14:paraId="0126AAFF" w14:textId="513E47D5" w:rsidR="00037478" w:rsidRPr="00456BA5" w:rsidRDefault="00A45FD6" w:rsidP="00583E0D">
      <w:pPr>
        <w:jc w:val="both"/>
      </w:pPr>
      <w:r w:rsidRPr="00456BA5">
        <w:t>Další oblasti, ve které jsou již realizovány projekty ve značném objemu, je oblast Sociálních služeb a zaměstnanosti. I zde jsou v realizaci projekty ve větším objemu</w:t>
      </w:r>
      <w:r w:rsidR="00037478" w:rsidRPr="00456BA5">
        <w:t>,</w:t>
      </w:r>
      <w:r w:rsidRPr="00456BA5">
        <w:t xml:space="preserve"> než byl plán pro rok 2017.</w:t>
      </w:r>
    </w:p>
    <w:p w14:paraId="7ACF9B76" w14:textId="7B66482A" w:rsidR="00037478" w:rsidRPr="00456BA5" w:rsidRDefault="00037478" w:rsidP="00583E0D">
      <w:pPr>
        <w:jc w:val="both"/>
      </w:pPr>
      <w:r w:rsidRPr="00456BA5">
        <w:t xml:space="preserve">Určité zrychlení je třeba požadovat od potenciálních příjemců v oblasti Životního prostředí. </w:t>
      </w:r>
      <w:r w:rsidR="003B7F33">
        <w:t>Tady je plánová</w:t>
      </w:r>
      <w:r w:rsidRPr="00456BA5">
        <w:t>n</w:t>
      </w:r>
      <w:r w:rsidR="003B7F33">
        <w:t>a</w:t>
      </w:r>
      <w:r w:rsidRPr="00456BA5">
        <w:t xml:space="preserve"> realizace projektů především na roky 2017 a 2018.</w:t>
      </w:r>
    </w:p>
    <w:p w14:paraId="207740C9" w14:textId="5D67B938" w:rsidR="00C57453" w:rsidRPr="00456BA5" w:rsidRDefault="00C57453" w:rsidP="00583E0D">
      <w:pPr>
        <w:jc w:val="both"/>
      </w:pPr>
      <w:r w:rsidRPr="00456BA5">
        <w:t xml:space="preserve">V průběhu roku 2016 nebyly realizovány žádné projekty v rámci integrovaných nástrojů. První výzvy </w:t>
      </w:r>
      <w:r w:rsidR="003B7F33">
        <w:t xml:space="preserve">v rámci IPRÚ </w:t>
      </w:r>
      <w:r w:rsidRPr="00456BA5">
        <w:t>byly vyhlášeny až na přelomu rok</w:t>
      </w:r>
      <w:r w:rsidR="003573F3">
        <w:t>ů</w:t>
      </w:r>
      <w:r w:rsidRPr="00456BA5">
        <w:t xml:space="preserve"> 2016 a 2017. Obsáhlejší analýza týkající se této oblasti bude zpracována až v příštím roce za rok 2017.</w:t>
      </w:r>
    </w:p>
    <w:p w14:paraId="2997E7B1" w14:textId="77777777" w:rsidR="00F21229" w:rsidRPr="00456BA5" w:rsidRDefault="00F21229" w:rsidP="00583E0D">
      <w:pPr>
        <w:jc w:val="both"/>
      </w:pPr>
    </w:p>
    <w:p w14:paraId="43A04273" w14:textId="77777777" w:rsidR="00F21229" w:rsidRPr="00456BA5" w:rsidRDefault="00F21229" w:rsidP="00583E0D">
      <w:pPr>
        <w:jc w:val="both"/>
      </w:pPr>
    </w:p>
    <w:p w14:paraId="762204C0" w14:textId="77777777" w:rsidR="00F21229" w:rsidRPr="00456BA5" w:rsidRDefault="00F21229" w:rsidP="00583E0D">
      <w:pPr>
        <w:jc w:val="both"/>
      </w:pPr>
    </w:p>
    <w:p w14:paraId="121D24D3" w14:textId="77777777" w:rsidR="00F21229" w:rsidRPr="00456BA5" w:rsidRDefault="00F21229" w:rsidP="00583E0D">
      <w:pPr>
        <w:jc w:val="both"/>
      </w:pPr>
    </w:p>
    <w:p w14:paraId="2A0E6C28" w14:textId="77777777" w:rsidR="00F21229" w:rsidRPr="00456BA5" w:rsidRDefault="00F21229" w:rsidP="00583E0D">
      <w:pPr>
        <w:jc w:val="both"/>
      </w:pPr>
    </w:p>
    <w:p w14:paraId="06580E15" w14:textId="77777777" w:rsidR="00F21229" w:rsidRPr="00456BA5" w:rsidRDefault="00F21229" w:rsidP="00583E0D">
      <w:pPr>
        <w:jc w:val="both"/>
      </w:pPr>
    </w:p>
    <w:p w14:paraId="2223A4E4" w14:textId="64B93A11" w:rsidR="00F21229" w:rsidRPr="003573F3" w:rsidRDefault="004F46A7" w:rsidP="003573F3">
      <w:pPr>
        <w:pStyle w:val="Nadpis1"/>
        <w:numPr>
          <w:ilvl w:val="0"/>
          <w:numId w:val="11"/>
        </w:numPr>
      </w:pPr>
      <w:r w:rsidRPr="003573F3">
        <w:lastRenderedPageBreak/>
        <w:t>Analýza územního rozložení alokací z</w:t>
      </w:r>
      <w:r w:rsidR="007736BC" w:rsidRPr="003573F3">
        <w:t> </w:t>
      </w:r>
      <w:r w:rsidRPr="003573F3">
        <w:t>ESIF v rámci kraje</w:t>
      </w:r>
      <w:r w:rsidR="004C5A77" w:rsidRPr="003573F3">
        <w:t xml:space="preserve"> </w:t>
      </w:r>
    </w:p>
    <w:p w14:paraId="704678BA" w14:textId="77777777" w:rsidR="00CB1049" w:rsidRDefault="00CB1049" w:rsidP="00CB1049">
      <w:pPr>
        <w:pStyle w:val="Titulek"/>
        <w:keepNext/>
        <w:contextualSpacing/>
        <w:rPr>
          <w:rStyle w:val="Zdraznnintenzivn"/>
        </w:rPr>
      </w:pPr>
    </w:p>
    <w:p w14:paraId="2C8B78FD" w14:textId="77777777" w:rsidR="00CB1049" w:rsidRDefault="00F21229" w:rsidP="00CB1049">
      <w:pPr>
        <w:pStyle w:val="Titulek"/>
        <w:keepNext/>
        <w:contextualSpacing/>
        <w:rPr>
          <w:rStyle w:val="Zdraznnintenzivn"/>
        </w:rPr>
      </w:pPr>
      <w:r w:rsidRPr="003573F3">
        <w:rPr>
          <w:rStyle w:val="Zdraznnintenzivn"/>
        </w:rPr>
        <w:t xml:space="preserve"> </w:t>
      </w:r>
    </w:p>
    <w:p w14:paraId="6668B83E" w14:textId="7DAD4CC3" w:rsidR="00F21229" w:rsidRPr="003573F3" w:rsidRDefault="00F21229" w:rsidP="00CB1049">
      <w:pPr>
        <w:pStyle w:val="Titulek"/>
        <w:keepNext/>
        <w:contextualSpacing/>
        <w:rPr>
          <w:rStyle w:val="Zdraznnintenzivn"/>
        </w:rPr>
      </w:pPr>
      <w:r w:rsidRPr="003573F3">
        <w:rPr>
          <w:rStyle w:val="Zdraznnintenzivn"/>
        </w:rPr>
        <w:t>Územní rozložení alokace z ESIF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2220"/>
        <w:gridCol w:w="2220"/>
        <w:gridCol w:w="2220"/>
      </w:tblGrid>
      <w:tr w:rsidR="00456BA5" w:rsidRPr="00456BA5" w14:paraId="2C0CED8F" w14:textId="77777777" w:rsidTr="00A975EE">
        <w:trPr>
          <w:trHeight w:val="66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60ECD337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Okres/</w:t>
            </w:r>
            <w:r w:rsidRPr="00456BA5">
              <w:rPr>
                <w:rFonts w:ascii="Calibri" w:eastAsia="Times New Roman" w:hAnsi="Calibri" w:cs="Times New Roman"/>
                <w:lang w:eastAsia="cs-CZ"/>
              </w:rPr>
              <w:t>ORP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86FD957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Podané projekty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5F1E22D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Schvalované projekty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14:paraId="5B7ED70D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Realizované a ukončené projekty</w:t>
            </w:r>
          </w:p>
        </w:tc>
      </w:tr>
      <w:tr w:rsidR="00456BA5" w:rsidRPr="00456BA5" w14:paraId="3330FDE9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070246A4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Cheb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D5CC430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899 722 311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ADF51A2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92 217 246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144B98C8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125 909 067</w:t>
            </w:r>
          </w:p>
        </w:tc>
      </w:tr>
      <w:tr w:rsidR="00456BA5" w:rsidRPr="00456BA5" w14:paraId="11F47231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79899188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 xml:space="preserve"> Aš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DA10FF5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140 291 059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6EE0618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446C8343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14 025 460</w:t>
            </w:r>
          </w:p>
        </w:tc>
      </w:tr>
      <w:tr w:rsidR="00456BA5" w:rsidRPr="00456BA5" w14:paraId="7E7C69D0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69CD74E6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 xml:space="preserve"> Cheb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A0A971D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390 141 172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353FB2A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10 789 543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57D76CF9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108 748 252</w:t>
            </w:r>
          </w:p>
        </w:tc>
      </w:tr>
      <w:tr w:rsidR="00456BA5" w:rsidRPr="00456BA5" w14:paraId="7361123E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05F45D35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 xml:space="preserve"> Mariánské Lázně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AA86B7C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287 862 376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A30347B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265A5AFB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</w:tr>
      <w:tr w:rsidR="00456BA5" w:rsidRPr="00456BA5" w14:paraId="6BF5CE2A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6E05C42A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 xml:space="preserve"> Nepřiřazeno k ORP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E4371F8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>81 427 703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C783AE5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>81 427 703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1B782A27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>3 135 355</w:t>
            </w:r>
          </w:p>
        </w:tc>
      </w:tr>
      <w:tr w:rsidR="00456BA5" w:rsidRPr="00456BA5" w14:paraId="7C2EA74E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4FF323B5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Karlovy Vary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3DADB9BC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765 535 245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CBB391D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6 343 814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458AE2E1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101 972 450</w:t>
            </w:r>
          </w:p>
        </w:tc>
      </w:tr>
      <w:tr w:rsidR="00456BA5" w:rsidRPr="00456BA5" w14:paraId="31B0E78F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24D545D0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 xml:space="preserve"> Karlovy Vary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4E3F463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559 138 792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82339CD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2 961 600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5A6D6462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77 969 836</w:t>
            </w:r>
          </w:p>
        </w:tc>
      </w:tr>
      <w:tr w:rsidR="00456BA5" w:rsidRPr="00456BA5" w14:paraId="2273467E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6AB01843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 xml:space="preserve"> Ostrov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09FAED7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206 396 453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903222F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3 382 214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584321C4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24 002 615</w:t>
            </w:r>
          </w:p>
        </w:tc>
      </w:tr>
      <w:tr w:rsidR="00456BA5" w:rsidRPr="00456BA5" w14:paraId="7B2DDAD5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3B640952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Sokolov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7C65573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1 242 049 185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EC8DB44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8 646 524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5A90AC46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34 929 058</w:t>
            </w:r>
          </w:p>
        </w:tc>
      </w:tr>
      <w:tr w:rsidR="00456BA5" w:rsidRPr="00456BA5" w14:paraId="3F79EDA3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293122AE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 xml:space="preserve"> Kraslice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D0C2614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58 762 796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61DC84C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-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2F99EF31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9 968 000</w:t>
            </w:r>
          </w:p>
        </w:tc>
      </w:tr>
      <w:tr w:rsidR="00456BA5" w:rsidRPr="00456BA5" w14:paraId="3590748E" w14:textId="77777777" w:rsidTr="00A975EE">
        <w:trPr>
          <w:trHeight w:val="30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439E60F4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 xml:space="preserve"> Sokolov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DFA4935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1 182 071 389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5D7448D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8 646 524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5E6DCE4E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lang w:eastAsia="cs-CZ"/>
              </w:rPr>
              <w:t>24 961 058</w:t>
            </w:r>
          </w:p>
        </w:tc>
      </w:tr>
      <w:tr w:rsidR="00456BA5" w:rsidRPr="00456BA5" w14:paraId="36559984" w14:textId="77777777" w:rsidTr="00A975EE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01D44CD9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 xml:space="preserve"> Nepřiřazeno k ORP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894CB77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>1 215 000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F4E7BA3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>-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AEEF3"/>
            <w:noWrap/>
            <w:vAlign w:val="center"/>
            <w:hideMark/>
          </w:tcPr>
          <w:p w14:paraId="50E9D9CE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i/>
                <w:iCs/>
                <w:lang w:eastAsia="cs-CZ"/>
              </w:rPr>
              <w:t>-</w:t>
            </w:r>
          </w:p>
        </w:tc>
      </w:tr>
      <w:tr w:rsidR="00456BA5" w:rsidRPr="00456BA5" w14:paraId="664E7561" w14:textId="77777777" w:rsidTr="00A975EE">
        <w:trPr>
          <w:trHeight w:val="31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0CEF2317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  <w:t>Nepřiřazeno k okresu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4D21DD6E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  <w:t>1 246 819 716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738A805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  <w:t>126 393 092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4392803D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i/>
                <w:iCs/>
                <w:lang w:eastAsia="cs-CZ"/>
              </w:rPr>
              <w:t>586 774 899</w:t>
            </w:r>
          </w:p>
        </w:tc>
      </w:tr>
      <w:tr w:rsidR="00456BA5" w:rsidRPr="00456BA5" w14:paraId="332B608C" w14:textId="77777777" w:rsidTr="00A975EE">
        <w:trPr>
          <w:trHeight w:val="48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AFA068B" w14:textId="77777777" w:rsidR="00F21229" w:rsidRPr="00456BA5" w:rsidRDefault="00F21229" w:rsidP="00A975E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Celkový součet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D9E973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4 154 126 456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6DDAA70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233 600 675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00E02D02" w14:textId="77777777" w:rsidR="00F21229" w:rsidRPr="00456BA5" w:rsidRDefault="00F21229" w:rsidP="00A975E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cs-CZ"/>
              </w:rPr>
            </w:pPr>
            <w:r w:rsidRPr="00456BA5">
              <w:rPr>
                <w:rFonts w:ascii="Calibri" w:eastAsia="Times New Roman" w:hAnsi="Calibri" w:cs="Times New Roman"/>
                <w:b/>
                <w:bCs/>
                <w:lang w:eastAsia="cs-CZ"/>
              </w:rPr>
              <w:t>849 585 474</w:t>
            </w:r>
          </w:p>
        </w:tc>
      </w:tr>
    </w:tbl>
    <w:p w14:paraId="400F786B" w14:textId="77777777" w:rsidR="00CB1049" w:rsidRDefault="00CB1049" w:rsidP="007D6642">
      <w:pPr>
        <w:spacing w:before="240" w:after="120"/>
        <w:jc w:val="both"/>
      </w:pPr>
    </w:p>
    <w:p w14:paraId="3CEAF514" w14:textId="1DF1AC00" w:rsidR="007D6642" w:rsidRPr="00456BA5" w:rsidRDefault="00AC677F" w:rsidP="007D6642">
      <w:pPr>
        <w:spacing w:before="240" w:after="120"/>
        <w:jc w:val="both"/>
      </w:pPr>
      <w:r w:rsidRPr="00456BA5">
        <w:t xml:space="preserve">Výše uvedené hodnoty popisují územní rozložení projektů v realizaci. Sloupec </w:t>
      </w:r>
      <w:r w:rsidR="003B7F33">
        <w:t>„</w:t>
      </w:r>
      <w:r w:rsidRPr="003B7F33">
        <w:rPr>
          <w:i/>
        </w:rPr>
        <w:t>Podané projekty</w:t>
      </w:r>
      <w:r w:rsidR="003B7F33">
        <w:rPr>
          <w:i/>
        </w:rPr>
        <w:t xml:space="preserve">“ </w:t>
      </w:r>
      <w:r w:rsidRPr="00456BA5">
        <w:t xml:space="preserve">ukazuje, že v průběhu roku 2016 byly v územním obvodu kraje předloženy projekty </w:t>
      </w:r>
      <w:r w:rsidR="00A352BA" w:rsidRPr="00456BA5">
        <w:t xml:space="preserve">s požadavkem na prostředky fondů EU </w:t>
      </w:r>
      <w:r w:rsidRPr="00456BA5">
        <w:t>za více než 4 mld. Kč. V procesu schvalování jich bylo ke konc</w:t>
      </w:r>
      <w:r w:rsidR="00A352BA" w:rsidRPr="00456BA5">
        <w:t>i</w:t>
      </w:r>
      <w:r w:rsidRPr="00456BA5">
        <w:t xml:space="preserve"> roku 2016 za více než 200 mil. Kč. </w:t>
      </w:r>
      <w:r w:rsidR="00A352BA" w:rsidRPr="00456BA5">
        <w:t xml:space="preserve">Realizované projekty k uvedenému datu dosahovali příspěvku za téměř 850 mil. Kč. </w:t>
      </w:r>
    </w:p>
    <w:p w14:paraId="781CFDF5" w14:textId="174BC77E" w:rsidR="00A352BA" w:rsidRPr="00456BA5" w:rsidRDefault="00A352BA" w:rsidP="007D6642">
      <w:pPr>
        <w:spacing w:before="240" w:after="120"/>
        <w:jc w:val="both"/>
      </w:pPr>
      <w:r w:rsidRPr="00456BA5">
        <w:t>Nejvýkonnější byl v roce 2016 okres Sokolov, ve kterém byly předloženy projekty s požadavkem na více než 1,2 mld. Kč. Na úrovní realizovaných projektů je</w:t>
      </w:r>
      <w:r w:rsidR="003B7F33">
        <w:t xml:space="preserve"> na</w:t>
      </w:r>
      <w:r w:rsidRPr="00456BA5">
        <w:t xml:space="preserve"> to zatím</w:t>
      </w:r>
      <w:r w:rsidR="003B7F33">
        <w:t xml:space="preserve"> nejlépe</w:t>
      </w:r>
      <w:r w:rsidRPr="00456BA5">
        <w:t xml:space="preserve"> okres Cheb, na jehož území jsou ve fázi realizace projekty za 125 mil. Kč.</w:t>
      </w:r>
    </w:p>
    <w:p w14:paraId="234DA9F7" w14:textId="619D9A59" w:rsidR="00A352BA" w:rsidRPr="00456BA5" w:rsidRDefault="00A352BA" w:rsidP="007D6642">
      <w:pPr>
        <w:spacing w:before="240" w:after="120"/>
        <w:jc w:val="both"/>
      </w:pPr>
      <w:r w:rsidRPr="00456BA5">
        <w:t xml:space="preserve">Velký rozdíl mezi sloupci </w:t>
      </w:r>
      <w:r w:rsidR="003B7F33" w:rsidRPr="003B7F33">
        <w:rPr>
          <w:i/>
        </w:rPr>
        <w:t>„</w:t>
      </w:r>
      <w:r w:rsidRPr="003B7F33">
        <w:rPr>
          <w:i/>
        </w:rPr>
        <w:t>Podané</w:t>
      </w:r>
      <w:r w:rsidR="003B7F33" w:rsidRPr="003B7F33">
        <w:rPr>
          <w:i/>
        </w:rPr>
        <w:t xml:space="preserve"> projekty“</w:t>
      </w:r>
      <w:r w:rsidRPr="00456BA5">
        <w:t xml:space="preserve"> a </w:t>
      </w:r>
      <w:r w:rsidR="003B7F33" w:rsidRPr="003B7F33">
        <w:rPr>
          <w:i/>
        </w:rPr>
        <w:t>„</w:t>
      </w:r>
      <w:r w:rsidRPr="003B7F33">
        <w:rPr>
          <w:i/>
        </w:rPr>
        <w:t>Realizované</w:t>
      </w:r>
      <w:r w:rsidR="003B7F33" w:rsidRPr="003B7F33">
        <w:rPr>
          <w:i/>
        </w:rPr>
        <w:t xml:space="preserve"> a ukončené projekty“</w:t>
      </w:r>
      <w:r w:rsidRPr="00456BA5">
        <w:t xml:space="preserve"> ukazuje na předpoklad, že v roce 2017 a v dalších letech by měla na území krajů probíhat realizace </w:t>
      </w:r>
      <w:r w:rsidR="00A0099A" w:rsidRPr="00456BA5">
        <w:t>projektů s výrazně vyšším požadavkem než v roce 2016. O tom ostatně svědčí i data uvedená v RAP, kde právě v roce 2017 a 2018 se počítá s realizací projektu v řádu několika miliard</w:t>
      </w:r>
      <w:r w:rsidR="00522437" w:rsidRPr="00456BA5">
        <w:t>.</w:t>
      </w:r>
    </w:p>
    <w:p w14:paraId="0C029E40" w14:textId="3E85485E" w:rsidR="00522437" w:rsidRDefault="00522437" w:rsidP="007D6642">
      <w:pPr>
        <w:spacing w:before="240" w:after="120"/>
        <w:jc w:val="both"/>
      </w:pPr>
      <w:r w:rsidRPr="00456BA5">
        <w:t>V tabulce jsou uvedeny i projekty, kterým není př</w:t>
      </w:r>
      <w:r w:rsidR="00104B67">
        <w:t>i</w:t>
      </w:r>
      <w:r w:rsidRPr="00456BA5">
        <w:t xml:space="preserve">řazeno místo realizace na úrovni </w:t>
      </w:r>
      <w:r w:rsidR="00C72DED" w:rsidRPr="00456BA5">
        <w:t>obcí s rozšířenou působností (ORP), ale jsou zařazeny pod konkrétní okres. Dále jsou zde zahrnuty i projekty, kterým není přiřazen ani konkrétní okres.</w:t>
      </w:r>
    </w:p>
    <w:p w14:paraId="5A9277EC" w14:textId="77777777" w:rsidR="00CB1049" w:rsidRPr="00456BA5" w:rsidRDefault="00CB1049" w:rsidP="007D6642">
      <w:pPr>
        <w:spacing w:before="240" w:after="120"/>
        <w:jc w:val="both"/>
      </w:pPr>
    </w:p>
    <w:p w14:paraId="02D1D861" w14:textId="67B05251" w:rsidR="00E33F35" w:rsidRPr="00456BA5" w:rsidRDefault="00E33F35" w:rsidP="003573F3">
      <w:pPr>
        <w:pStyle w:val="Nadpis1"/>
        <w:numPr>
          <w:ilvl w:val="0"/>
          <w:numId w:val="11"/>
        </w:numPr>
      </w:pPr>
      <w:r w:rsidRPr="00456BA5">
        <w:t>Závěr</w:t>
      </w:r>
    </w:p>
    <w:p w14:paraId="3A8DF460" w14:textId="60FC5D33" w:rsidR="005B30BA" w:rsidRPr="00456BA5" w:rsidRDefault="00E33F35" w:rsidP="007D6642">
      <w:pPr>
        <w:spacing w:before="240" w:after="120"/>
        <w:jc w:val="both"/>
      </w:pPr>
      <w:r w:rsidRPr="00456BA5">
        <w:t>Z výše uvedených informací vyplývá, že realizace aktivit uvedených v RAP probíhá, ale je zde prostor ke zvýšení aktivity při přípravě plánovaných projektů. Jednotlivé subjekty, které plánují předložit projekty do některého z operačního programu v rámci programového období 2014 – 2020 by měl</w:t>
      </w:r>
      <w:r w:rsidR="005B30BA" w:rsidRPr="00456BA5">
        <w:t>y</w:t>
      </w:r>
      <w:r w:rsidRPr="00456BA5">
        <w:t xml:space="preserve"> své projekty </w:t>
      </w:r>
      <w:r w:rsidR="005B30BA" w:rsidRPr="00456BA5">
        <w:t xml:space="preserve">intenzivně připravovat, tak aby byly připraveny je předložit v rámci plánovaných výzev. Jedině tak dojde k plynulému čerpání z jednotlivých operačních programů, </w:t>
      </w:r>
      <w:r w:rsidR="00104B67">
        <w:t>se kterými</w:t>
      </w:r>
      <w:r w:rsidR="005B30BA" w:rsidRPr="00456BA5">
        <w:t xml:space="preserve"> dle dat uvedených v RAP jednotlivé Řídící orgány </w:t>
      </w:r>
      <w:r w:rsidR="00104B67">
        <w:t>počítají</w:t>
      </w:r>
      <w:r w:rsidR="005B30BA" w:rsidRPr="00456BA5">
        <w:t xml:space="preserve">. </w:t>
      </w:r>
    </w:p>
    <w:p w14:paraId="47F39BE4" w14:textId="72E4DD0A" w:rsidR="00E33F35" w:rsidRPr="00456BA5" w:rsidRDefault="00E33F35" w:rsidP="007D6642">
      <w:pPr>
        <w:spacing w:before="240" w:after="120"/>
        <w:jc w:val="both"/>
      </w:pPr>
      <w:r w:rsidRPr="00456BA5">
        <w:t xml:space="preserve">V průběhu roku se počítá s pravidelnou aktualizací Regionálního akčního plánu. V rámci této činnosti by mělo dojít k upřesnění do této chvíle získaných informací. </w:t>
      </w:r>
    </w:p>
    <w:p w14:paraId="1CC861D6" w14:textId="77777777" w:rsidR="007262E4" w:rsidRPr="00456BA5" w:rsidRDefault="007262E4" w:rsidP="00244947">
      <w:pPr>
        <w:pStyle w:val="Odstavecseseznamem"/>
        <w:ind w:left="1440"/>
        <w:jc w:val="both"/>
      </w:pPr>
    </w:p>
    <w:p w14:paraId="719A58EB" w14:textId="5D1DAA65" w:rsidR="002944E5" w:rsidRPr="00456BA5" w:rsidRDefault="002944E5" w:rsidP="00E05770">
      <w:pPr>
        <w:rPr>
          <w:b/>
          <w:i/>
          <w:sz w:val="20"/>
        </w:rPr>
      </w:pPr>
      <w:r w:rsidRPr="00456BA5">
        <w:rPr>
          <w:b/>
          <w:i/>
          <w:sz w:val="20"/>
        </w:rPr>
        <w:t xml:space="preserve">Příloha 1 </w:t>
      </w:r>
      <w:r w:rsidR="0082654F" w:rsidRPr="00456BA5">
        <w:rPr>
          <w:b/>
          <w:i/>
          <w:sz w:val="20"/>
        </w:rPr>
        <w:t>–</w:t>
      </w:r>
      <w:r w:rsidRPr="00456BA5">
        <w:rPr>
          <w:b/>
          <w:i/>
          <w:sz w:val="20"/>
        </w:rPr>
        <w:t xml:space="preserve"> </w:t>
      </w:r>
      <w:r w:rsidR="0082654F" w:rsidRPr="00456BA5">
        <w:rPr>
          <w:b/>
          <w:i/>
          <w:sz w:val="20"/>
        </w:rPr>
        <w:t>Přehled specifických cílů</w:t>
      </w:r>
    </w:p>
    <w:p w14:paraId="1B535783" w14:textId="610DA186" w:rsidR="00106B04" w:rsidRPr="00456BA5" w:rsidRDefault="00106B04" w:rsidP="00E05770">
      <w:pPr>
        <w:rPr>
          <w:b/>
          <w:i/>
          <w:sz w:val="20"/>
        </w:rPr>
      </w:pPr>
      <w:r w:rsidRPr="00456BA5">
        <w:rPr>
          <w:b/>
          <w:i/>
          <w:sz w:val="20"/>
        </w:rPr>
        <w:t xml:space="preserve">Příloha </w:t>
      </w:r>
      <w:r w:rsidR="002944E5" w:rsidRPr="00456BA5">
        <w:rPr>
          <w:b/>
          <w:i/>
          <w:sz w:val="20"/>
        </w:rPr>
        <w:t>2</w:t>
      </w:r>
      <w:r w:rsidRPr="00456BA5">
        <w:rPr>
          <w:b/>
          <w:i/>
          <w:sz w:val="20"/>
        </w:rPr>
        <w:t xml:space="preserve"> – Kart</w:t>
      </w:r>
      <w:r w:rsidR="002944E5" w:rsidRPr="00456BA5">
        <w:rPr>
          <w:b/>
          <w:i/>
          <w:sz w:val="20"/>
        </w:rPr>
        <w:t>y</w:t>
      </w:r>
      <w:r w:rsidRPr="00456BA5">
        <w:rPr>
          <w:b/>
          <w:i/>
          <w:sz w:val="20"/>
        </w:rPr>
        <w:t xml:space="preserve"> aktivity</w:t>
      </w:r>
    </w:p>
    <w:p w14:paraId="145AF38A" w14:textId="7E51844B" w:rsidR="00D42101" w:rsidRPr="00456BA5" w:rsidRDefault="00D42101" w:rsidP="00E05770">
      <w:pPr>
        <w:jc w:val="both"/>
        <w:rPr>
          <w:sz w:val="18"/>
        </w:rPr>
      </w:pPr>
    </w:p>
    <w:p w14:paraId="762CCF1F" w14:textId="77777777" w:rsidR="00374DAB" w:rsidRPr="00456BA5" w:rsidRDefault="00374DAB" w:rsidP="00652066">
      <w:pPr>
        <w:pStyle w:val="Odstavecseseznamem"/>
        <w:ind w:left="1440"/>
        <w:jc w:val="both"/>
      </w:pPr>
    </w:p>
    <w:sectPr w:rsidR="00374DAB" w:rsidRPr="00456BA5" w:rsidSect="00442EC2">
      <w:pgSz w:w="11906" w:h="16838"/>
      <w:pgMar w:top="1276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070C2D" w14:textId="77777777" w:rsidR="00A939A1" w:rsidRDefault="00A939A1" w:rsidP="007736BC">
      <w:pPr>
        <w:spacing w:after="0" w:line="240" w:lineRule="auto"/>
      </w:pPr>
      <w:r>
        <w:separator/>
      </w:r>
    </w:p>
  </w:endnote>
  <w:endnote w:type="continuationSeparator" w:id="0">
    <w:p w14:paraId="26865C65" w14:textId="77777777" w:rsidR="00A939A1" w:rsidRDefault="00A939A1" w:rsidP="0077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15865" w14:textId="77777777" w:rsidR="00A939A1" w:rsidRDefault="00A939A1" w:rsidP="007736BC">
      <w:pPr>
        <w:spacing w:after="0" w:line="240" w:lineRule="auto"/>
      </w:pPr>
      <w:r>
        <w:separator/>
      </w:r>
    </w:p>
  </w:footnote>
  <w:footnote w:type="continuationSeparator" w:id="0">
    <w:p w14:paraId="301A23B2" w14:textId="77777777" w:rsidR="00A939A1" w:rsidRDefault="00A939A1" w:rsidP="00773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13474"/>
    <w:multiLevelType w:val="hybridMultilevel"/>
    <w:tmpl w:val="F098B18E"/>
    <w:lvl w:ilvl="0" w:tplc="D37A7B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02573"/>
    <w:multiLevelType w:val="hybridMultilevel"/>
    <w:tmpl w:val="89E0C15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61D58E6"/>
    <w:multiLevelType w:val="hybridMultilevel"/>
    <w:tmpl w:val="5E2A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35B16"/>
    <w:multiLevelType w:val="hybridMultilevel"/>
    <w:tmpl w:val="CA26B2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57413"/>
    <w:multiLevelType w:val="hybridMultilevel"/>
    <w:tmpl w:val="05168F18"/>
    <w:lvl w:ilvl="0" w:tplc="09BAA4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826D1"/>
    <w:multiLevelType w:val="hybridMultilevel"/>
    <w:tmpl w:val="1890CE7E"/>
    <w:lvl w:ilvl="0" w:tplc="CB18EA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590C7AB6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D504C0"/>
    <w:multiLevelType w:val="hybridMultilevel"/>
    <w:tmpl w:val="0464B340"/>
    <w:lvl w:ilvl="0" w:tplc="D37A7B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E967A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E2AB0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D3EF0"/>
    <w:multiLevelType w:val="hybridMultilevel"/>
    <w:tmpl w:val="5D887EE6"/>
    <w:lvl w:ilvl="0" w:tplc="3A089C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D510EB"/>
    <w:multiLevelType w:val="hybridMultilevel"/>
    <w:tmpl w:val="9984DB8A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5935D66"/>
    <w:multiLevelType w:val="hybridMultilevel"/>
    <w:tmpl w:val="3EBC2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BD500B"/>
    <w:multiLevelType w:val="hybridMultilevel"/>
    <w:tmpl w:val="0D862F58"/>
    <w:lvl w:ilvl="0" w:tplc="9B28C2A0">
      <w:start w:val="1"/>
      <w:numFmt w:val="bullet"/>
      <w:pStyle w:val="MMRbu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72D"/>
    <w:rsid w:val="00010962"/>
    <w:rsid w:val="00023466"/>
    <w:rsid w:val="00036F0B"/>
    <w:rsid w:val="00037478"/>
    <w:rsid w:val="000414E4"/>
    <w:rsid w:val="00045995"/>
    <w:rsid w:val="00052329"/>
    <w:rsid w:val="00062CE7"/>
    <w:rsid w:val="000643A0"/>
    <w:rsid w:val="00065E3D"/>
    <w:rsid w:val="0007089B"/>
    <w:rsid w:val="000872FD"/>
    <w:rsid w:val="000967D5"/>
    <w:rsid w:val="000A0BC8"/>
    <w:rsid w:val="000C0C54"/>
    <w:rsid w:val="000C10D4"/>
    <w:rsid w:val="000D7F75"/>
    <w:rsid w:val="000E01A6"/>
    <w:rsid w:val="000E0F71"/>
    <w:rsid w:val="000F5124"/>
    <w:rsid w:val="000F6DD3"/>
    <w:rsid w:val="00104B67"/>
    <w:rsid w:val="00106B04"/>
    <w:rsid w:val="00132283"/>
    <w:rsid w:val="001343E3"/>
    <w:rsid w:val="00137C2E"/>
    <w:rsid w:val="001431F7"/>
    <w:rsid w:val="00167119"/>
    <w:rsid w:val="00185B33"/>
    <w:rsid w:val="001B32DB"/>
    <w:rsid w:val="001B38D6"/>
    <w:rsid w:val="001C28F3"/>
    <w:rsid w:val="001C3717"/>
    <w:rsid w:val="001D59A9"/>
    <w:rsid w:val="001D614E"/>
    <w:rsid w:val="001F1EF3"/>
    <w:rsid w:val="001F456E"/>
    <w:rsid w:val="001F6D9E"/>
    <w:rsid w:val="002145D3"/>
    <w:rsid w:val="0023412C"/>
    <w:rsid w:val="00237638"/>
    <w:rsid w:val="002437ED"/>
    <w:rsid w:val="00244947"/>
    <w:rsid w:val="00245C38"/>
    <w:rsid w:val="00247CFB"/>
    <w:rsid w:val="00270A0F"/>
    <w:rsid w:val="002854E5"/>
    <w:rsid w:val="002944E5"/>
    <w:rsid w:val="00297018"/>
    <w:rsid w:val="002978C0"/>
    <w:rsid w:val="002A371D"/>
    <w:rsid w:val="002A7145"/>
    <w:rsid w:val="002C242B"/>
    <w:rsid w:val="002D2F28"/>
    <w:rsid w:val="002D41C9"/>
    <w:rsid w:val="002E0786"/>
    <w:rsid w:val="00331159"/>
    <w:rsid w:val="00333993"/>
    <w:rsid w:val="00340D93"/>
    <w:rsid w:val="003410EB"/>
    <w:rsid w:val="003413DA"/>
    <w:rsid w:val="003507DD"/>
    <w:rsid w:val="00350E87"/>
    <w:rsid w:val="00352068"/>
    <w:rsid w:val="003573F3"/>
    <w:rsid w:val="00361CEA"/>
    <w:rsid w:val="00363CC1"/>
    <w:rsid w:val="0036641C"/>
    <w:rsid w:val="00370180"/>
    <w:rsid w:val="00374DAB"/>
    <w:rsid w:val="00382FE0"/>
    <w:rsid w:val="003B399C"/>
    <w:rsid w:val="003B7F33"/>
    <w:rsid w:val="003C20E7"/>
    <w:rsid w:val="003D0E63"/>
    <w:rsid w:val="003D2ABB"/>
    <w:rsid w:val="003F7B5F"/>
    <w:rsid w:val="0040170B"/>
    <w:rsid w:val="004052CF"/>
    <w:rsid w:val="004244C5"/>
    <w:rsid w:val="0042509C"/>
    <w:rsid w:val="00426330"/>
    <w:rsid w:val="004357C2"/>
    <w:rsid w:val="004422A7"/>
    <w:rsid w:val="00442EC2"/>
    <w:rsid w:val="004448E3"/>
    <w:rsid w:val="00445CED"/>
    <w:rsid w:val="0044694E"/>
    <w:rsid w:val="0045111D"/>
    <w:rsid w:val="00456B26"/>
    <w:rsid w:val="00456BA5"/>
    <w:rsid w:val="00482606"/>
    <w:rsid w:val="004A46B3"/>
    <w:rsid w:val="004A50A5"/>
    <w:rsid w:val="004C27C5"/>
    <w:rsid w:val="004C5A77"/>
    <w:rsid w:val="004C5BDC"/>
    <w:rsid w:val="004D2B1F"/>
    <w:rsid w:val="004E05DD"/>
    <w:rsid w:val="004F1EE4"/>
    <w:rsid w:val="004F26AE"/>
    <w:rsid w:val="004F46A7"/>
    <w:rsid w:val="004F683B"/>
    <w:rsid w:val="00510A95"/>
    <w:rsid w:val="005167F0"/>
    <w:rsid w:val="00522437"/>
    <w:rsid w:val="00535298"/>
    <w:rsid w:val="00535DF9"/>
    <w:rsid w:val="00537D93"/>
    <w:rsid w:val="00552DA0"/>
    <w:rsid w:val="0057611B"/>
    <w:rsid w:val="00576199"/>
    <w:rsid w:val="00583E0D"/>
    <w:rsid w:val="00586DF4"/>
    <w:rsid w:val="005969D4"/>
    <w:rsid w:val="0059718D"/>
    <w:rsid w:val="005B30BA"/>
    <w:rsid w:val="005C0C95"/>
    <w:rsid w:val="005D3593"/>
    <w:rsid w:val="005E0821"/>
    <w:rsid w:val="005E7B64"/>
    <w:rsid w:val="005F6683"/>
    <w:rsid w:val="00603E30"/>
    <w:rsid w:val="00604F29"/>
    <w:rsid w:val="0062416D"/>
    <w:rsid w:val="00634A02"/>
    <w:rsid w:val="00647B23"/>
    <w:rsid w:val="00652066"/>
    <w:rsid w:val="00680273"/>
    <w:rsid w:val="006847EC"/>
    <w:rsid w:val="00695F03"/>
    <w:rsid w:val="006E038D"/>
    <w:rsid w:val="006F0773"/>
    <w:rsid w:val="006F6935"/>
    <w:rsid w:val="00700E60"/>
    <w:rsid w:val="00722F06"/>
    <w:rsid w:val="007262E4"/>
    <w:rsid w:val="007403E1"/>
    <w:rsid w:val="00766B4C"/>
    <w:rsid w:val="007736BC"/>
    <w:rsid w:val="00791D77"/>
    <w:rsid w:val="00797355"/>
    <w:rsid w:val="00797642"/>
    <w:rsid w:val="007A04B2"/>
    <w:rsid w:val="007A0887"/>
    <w:rsid w:val="007A5F9B"/>
    <w:rsid w:val="007A6782"/>
    <w:rsid w:val="007B1865"/>
    <w:rsid w:val="007B6DD0"/>
    <w:rsid w:val="007C3579"/>
    <w:rsid w:val="007D6642"/>
    <w:rsid w:val="007F2F58"/>
    <w:rsid w:val="00800E63"/>
    <w:rsid w:val="00804782"/>
    <w:rsid w:val="008124DC"/>
    <w:rsid w:val="0082602C"/>
    <w:rsid w:val="0082654F"/>
    <w:rsid w:val="00837491"/>
    <w:rsid w:val="008435BA"/>
    <w:rsid w:val="008457D2"/>
    <w:rsid w:val="00852891"/>
    <w:rsid w:val="008627C9"/>
    <w:rsid w:val="00877ADF"/>
    <w:rsid w:val="008978A7"/>
    <w:rsid w:val="008A6769"/>
    <w:rsid w:val="008C69A8"/>
    <w:rsid w:val="008D1D9B"/>
    <w:rsid w:val="008D2FFA"/>
    <w:rsid w:val="008D4F03"/>
    <w:rsid w:val="008D5CF5"/>
    <w:rsid w:val="008D6BAC"/>
    <w:rsid w:val="008D794F"/>
    <w:rsid w:val="008E323E"/>
    <w:rsid w:val="00937DA9"/>
    <w:rsid w:val="009420BE"/>
    <w:rsid w:val="00961AFB"/>
    <w:rsid w:val="009625E5"/>
    <w:rsid w:val="00966F0F"/>
    <w:rsid w:val="009816B1"/>
    <w:rsid w:val="00994803"/>
    <w:rsid w:val="00996F13"/>
    <w:rsid w:val="009B4A74"/>
    <w:rsid w:val="009C456C"/>
    <w:rsid w:val="00A0099A"/>
    <w:rsid w:val="00A0113F"/>
    <w:rsid w:val="00A10A35"/>
    <w:rsid w:val="00A138D0"/>
    <w:rsid w:val="00A34F2F"/>
    <w:rsid w:val="00A35248"/>
    <w:rsid w:val="00A352BA"/>
    <w:rsid w:val="00A45FD6"/>
    <w:rsid w:val="00A50C52"/>
    <w:rsid w:val="00A64B27"/>
    <w:rsid w:val="00A86AC8"/>
    <w:rsid w:val="00A939A1"/>
    <w:rsid w:val="00AA125A"/>
    <w:rsid w:val="00AA1F9B"/>
    <w:rsid w:val="00AB1EAB"/>
    <w:rsid w:val="00AB3D07"/>
    <w:rsid w:val="00AB67B0"/>
    <w:rsid w:val="00AC677F"/>
    <w:rsid w:val="00AD0A60"/>
    <w:rsid w:val="00AD3ECB"/>
    <w:rsid w:val="00AD70E7"/>
    <w:rsid w:val="00AE4687"/>
    <w:rsid w:val="00AF0D77"/>
    <w:rsid w:val="00AF358E"/>
    <w:rsid w:val="00AF43A6"/>
    <w:rsid w:val="00AF6BD1"/>
    <w:rsid w:val="00B004F9"/>
    <w:rsid w:val="00B05BDA"/>
    <w:rsid w:val="00B1434D"/>
    <w:rsid w:val="00B21F43"/>
    <w:rsid w:val="00B251E0"/>
    <w:rsid w:val="00B347EB"/>
    <w:rsid w:val="00B35490"/>
    <w:rsid w:val="00B64520"/>
    <w:rsid w:val="00B71643"/>
    <w:rsid w:val="00B85B87"/>
    <w:rsid w:val="00BC76C1"/>
    <w:rsid w:val="00BD0636"/>
    <w:rsid w:val="00BD207D"/>
    <w:rsid w:val="00BF6B7C"/>
    <w:rsid w:val="00C00BAA"/>
    <w:rsid w:val="00C1166E"/>
    <w:rsid w:val="00C14BA4"/>
    <w:rsid w:val="00C20090"/>
    <w:rsid w:val="00C44B9A"/>
    <w:rsid w:val="00C55E5F"/>
    <w:rsid w:val="00C57453"/>
    <w:rsid w:val="00C72DED"/>
    <w:rsid w:val="00C77A4C"/>
    <w:rsid w:val="00C820A1"/>
    <w:rsid w:val="00C83370"/>
    <w:rsid w:val="00C84A9E"/>
    <w:rsid w:val="00C97B21"/>
    <w:rsid w:val="00CA4593"/>
    <w:rsid w:val="00CA6003"/>
    <w:rsid w:val="00CB1049"/>
    <w:rsid w:val="00CB6917"/>
    <w:rsid w:val="00CB76DD"/>
    <w:rsid w:val="00CC3084"/>
    <w:rsid w:val="00CF042F"/>
    <w:rsid w:val="00CF53A4"/>
    <w:rsid w:val="00D07934"/>
    <w:rsid w:val="00D17091"/>
    <w:rsid w:val="00D202AB"/>
    <w:rsid w:val="00D23B67"/>
    <w:rsid w:val="00D318B8"/>
    <w:rsid w:val="00D31DE7"/>
    <w:rsid w:val="00D40393"/>
    <w:rsid w:val="00D42101"/>
    <w:rsid w:val="00D43040"/>
    <w:rsid w:val="00D47EE1"/>
    <w:rsid w:val="00D5121D"/>
    <w:rsid w:val="00D61354"/>
    <w:rsid w:val="00D64320"/>
    <w:rsid w:val="00D64B0B"/>
    <w:rsid w:val="00D659FE"/>
    <w:rsid w:val="00D725E0"/>
    <w:rsid w:val="00D866A8"/>
    <w:rsid w:val="00D8777B"/>
    <w:rsid w:val="00D93C3C"/>
    <w:rsid w:val="00D94CEC"/>
    <w:rsid w:val="00DC2A5B"/>
    <w:rsid w:val="00DD776A"/>
    <w:rsid w:val="00DE7799"/>
    <w:rsid w:val="00DF3845"/>
    <w:rsid w:val="00E05770"/>
    <w:rsid w:val="00E05962"/>
    <w:rsid w:val="00E06607"/>
    <w:rsid w:val="00E33F35"/>
    <w:rsid w:val="00E4615D"/>
    <w:rsid w:val="00E611B2"/>
    <w:rsid w:val="00E65BE5"/>
    <w:rsid w:val="00E7325C"/>
    <w:rsid w:val="00E7772D"/>
    <w:rsid w:val="00E80DFA"/>
    <w:rsid w:val="00E91BF4"/>
    <w:rsid w:val="00EB0788"/>
    <w:rsid w:val="00EB132F"/>
    <w:rsid w:val="00EC0E72"/>
    <w:rsid w:val="00EC304B"/>
    <w:rsid w:val="00EE091E"/>
    <w:rsid w:val="00EE1C33"/>
    <w:rsid w:val="00F033DB"/>
    <w:rsid w:val="00F1175E"/>
    <w:rsid w:val="00F166BB"/>
    <w:rsid w:val="00F21229"/>
    <w:rsid w:val="00F3161F"/>
    <w:rsid w:val="00F46B89"/>
    <w:rsid w:val="00F52362"/>
    <w:rsid w:val="00F57F29"/>
    <w:rsid w:val="00F612BA"/>
    <w:rsid w:val="00F624CB"/>
    <w:rsid w:val="00F646AD"/>
    <w:rsid w:val="00F667A3"/>
    <w:rsid w:val="00F8260F"/>
    <w:rsid w:val="00F878D6"/>
    <w:rsid w:val="00F9724C"/>
    <w:rsid w:val="00FB5D01"/>
    <w:rsid w:val="00FC4F2B"/>
    <w:rsid w:val="00FD2DA8"/>
    <w:rsid w:val="00FD3B48"/>
    <w:rsid w:val="00FF0108"/>
    <w:rsid w:val="00FF1385"/>
    <w:rsid w:val="00FF2D91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6BCF9"/>
  <w15:docId w15:val="{60FB2AB7-360E-4723-83A2-08D3D6FE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456C"/>
  </w:style>
  <w:style w:type="paragraph" w:styleId="Nadpis1">
    <w:name w:val="heading 1"/>
    <w:basedOn w:val="Normln"/>
    <w:next w:val="Normln"/>
    <w:link w:val="Nadpis1Char"/>
    <w:uiPriority w:val="9"/>
    <w:qFormat/>
    <w:rsid w:val="00350E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D2D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6B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772D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FD2D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E059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59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59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59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596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5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962"/>
    <w:rPr>
      <w:rFonts w:ascii="Tahoma" w:hAnsi="Tahoma" w:cs="Tahoma"/>
      <w:sz w:val="16"/>
      <w:szCs w:val="16"/>
    </w:rPr>
  </w:style>
  <w:style w:type="paragraph" w:customStyle="1" w:styleId="MMRbul">
    <w:name w:val="MMR bul"/>
    <w:basedOn w:val="Normln"/>
    <w:link w:val="MMRbulChar"/>
    <w:autoRedefine/>
    <w:qFormat/>
    <w:rsid w:val="00E05962"/>
    <w:pPr>
      <w:widowControl w:val="0"/>
      <w:numPr>
        <w:numId w:val="6"/>
      </w:numPr>
      <w:suppressAutoHyphens/>
      <w:autoSpaceDN w:val="0"/>
      <w:spacing w:after="120" w:line="240" w:lineRule="auto"/>
      <w:jc w:val="both"/>
    </w:pPr>
    <w:rPr>
      <w:rFonts w:ascii="Arial" w:eastAsia="SimSun" w:hAnsi="Arial" w:cs="Arial"/>
      <w:kern w:val="3"/>
      <w:sz w:val="20"/>
      <w:lang w:eastAsia="x-none"/>
    </w:rPr>
  </w:style>
  <w:style w:type="character" w:customStyle="1" w:styleId="MMRbulChar">
    <w:name w:val="MMR bul Char"/>
    <w:link w:val="MMRbul"/>
    <w:rsid w:val="00E05962"/>
    <w:rPr>
      <w:rFonts w:ascii="Arial" w:eastAsia="SimSun" w:hAnsi="Arial" w:cs="Arial"/>
      <w:kern w:val="3"/>
      <w:sz w:val="20"/>
      <w:lang w:eastAsia="x-none"/>
    </w:rPr>
  </w:style>
  <w:style w:type="paragraph" w:styleId="Revize">
    <w:name w:val="Revision"/>
    <w:hidden/>
    <w:uiPriority w:val="99"/>
    <w:semiHidden/>
    <w:rsid w:val="0044694E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36B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36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736BC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D6BAC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106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50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5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0E87"/>
  </w:style>
  <w:style w:type="paragraph" w:styleId="Zpat">
    <w:name w:val="footer"/>
    <w:basedOn w:val="Normln"/>
    <w:link w:val="ZpatChar"/>
    <w:uiPriority w:val="99"/>
    <w:unhideWhenUsed/>
    <w:rsid w:val="0035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0E87"/>
  </w:style>
  <w:style w:type="paragraph" w:styleId="Nzev">
    <w:name w:val="Title"/>
    <w:basedOn w:val="Normln"/>
    <w:next w:val="Normln"/>
    <w:link w:val="NzevChar"/>
    <w:uiPriority w:val="10"/>
    <w:qFormat/>
    <w:rsid w:val="00350E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50E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35"/>
    <w:unhideWhenUsed/>
    <w:qFormat/>
    <w:rsid w:val="00F2122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456B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Zdraznnintenzivn">
    <w:name w:val="Intense Emphasis"/>
    <w:basedOn w:val="Standardnpsmoodstavce"/>
    <w:uiPriority w:val="21"/>
    <w:qFormat/>
    <w:rsid w:val="003573F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9EBA4-4228-426A-9EF3-FC996F97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1145</Words>
  <Characters>6759</Characters>
  <Application>Microsoft Office Word</Application>
  <DocSecurity>4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Pergl</dc:creator>
  <cp:lastModifiedBy>jelena.kriegelsteinova</cp:lastModifiedBy>
  <cp:revision>2</cp:revision>
  <cp:lastPrinted>2017-01-10T09:28:00Z</cp:lastPrinted>
  <dcterms:created xsi:type="dcterms:W3CDTF">2017-02-20T17:25:00Z</dcterms:created>
  <dcterms:modified xsi:type="dcterms:W3CDTF">2017-02-20T17:25:00Z</dcterms:modified>
</cp:coreProperties>
</file>