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537049">
        <w:rPr>
          <w:rFonts w:ascii="Times New Roman" w:eastAsia="Times New Roman" w:hAnsi="Times New Roman" w:cs="Times New Roman"/>
          <w:b/>
          <w:sz w:val="28"/>
        </w:rPr>
        <w:t>30</w:t>
      </w: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A022D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Konané dne:</w:t>
      </w:r>
      <w:r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5B72BC" w:rsidRPr="005B72BC">
        <w:rPr>
          <w:rFonts w:ascii="Times New Roman" w:eastAsia="Times New Roman" w:hAnsi="Times New Roman" w:cs="Times New Roman"/>
          <w:sz w:val="28"/>
        </w:rPr>
        <w:t>0</w:t>
      </w:r>
      <w:r w:rsidR="00537049">
        <w:rPr>
          <w:rFonts w:ascii="Times New Roman" w:eastAsia="Times New Roman" w:hAnsi="Times New Roman" w:cs="Times New Roman"/>
          <w:sz w:val="28"/>
        </w:rPr>
        <w:t>5</w:t>
      </w:r>
      <w:r w:rsidR="005B72BC" w:rsidRPr="005B72BC">
        <w:rPr>
          <w:rFonts w:ascii="Times New Roman" w:eastAsia="Times New Roman" w:hAnsi="Times New Roman" w:cs="Times New Roman"/>
          <w:sz w:val="28"/>
        </w:rPr>
        <w:t>.0</w:t>
      </w:r>
      <w:r w:rsidR="00537049">
        <w:rPr>
          <w:rFonts w:ascii="Times New Roman" w:eastAsia="Times New Roman" w:hAnsi="Times New Roman" w:cs="Times New Roman"/>
          <w:sz w:val="28"/>
        </w:rPr>
        <w:t>9</w:t>
      </w:r>
      <w:r w:rsidR="005B72BC" w:rsidRPr="005B72BC">
        <w:rPr>
          <w:rFonts w:ascii="Times New Roman" w:eastAsia="Times New Roman" w:hAnsi="Times New Roman" w:cs="Times New Roman"/>
          <w:sz w:val="28"/>
        </w:rPr>
        <w:t>.</w:t>
      </w:r>
      <w:r w:rsidR="00371183" w:rsidRPr="005B72BC">
        <w:rPr>
          <w:rFonts w:ascii="Times New Roman" w:eastAsia="Times New Roman" w:hAnsi="Times New Roman" w:cs="Times New Roman"/>
          <w:sz w:val="28"/>
        </w:rPr>
        <w:t>202</w:t>
      </w:r>
      <w:r w:rsidR="001F6952" w:rsidRPr="005B72BC">
        <w:rPr>
          <w:rFonts w:ascii="Times New Roman" w:eastAsia="Times New Roman" w:hAnsi="Times New Roman" w:cs="Times New Roman"/>
          <w:sz w:val="28"/>
        </w:rPr>
        <w:t>4</w:t>
      </w:r>
    </w:p>
    <w:p w:rsidR="00F31172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B61D00">
        <w:rPr>
          <w:rFonts w:ascii="Times New Roman" w:eastAsia="Times New Roman" w:hAnsi="Times New Roman" w:cs="Times New Roman"/>
          <w:sz w:val="28"/>
        </w:rPr>
        <w:t>2</w:t>
      </w:r>
    </w:p>
    <w:p w:rsidR="008D5C04" w:rsidRPr="00A022D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B61D00" w:rsidRDefault="000461FD" w:rsidP="00DB34FF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B61D00" w:rsidRPr="00B61D00">
        <w:rPr>
          <w:rFonts w:ascii="Times New Roman" w:eastAsia="Times New Roman" w:hAnsi="Times New Roman" w:cs="Times New Roman"/>
          <w:sz w:val="28"/>
        </w:rPr>
        <w:t xml:space="preserve">Aktuální informace </w:t>
      </w:r>
      <w:r w:rsidR="00B61D00">
        <w:rPr>
          <w:rFonts w:ascii="Times New Roman" w:eastAsia="Times New Roman" w:hAnsi="Times New Roman" w:cs="Times New Roman"/>
          <w:sz w:val="28"/>
        </w:rPr>
        <w:t xml:space="preserve">k </w:t>
      </w:r>
      <w:r w:rsidR="00B61D00" w:rsidRPr="00B61D00">
        <w:rPr>
          <w:rFonts w:ascii="Times New Roman" w:eastAsia="Times New Roman" w:hAnsi="Times New Roman" w:cs="Times New Roman"/>
          <w:sz w:val="28"/>
        </w:rPr>
        <w:t>Operační</w:t>
      </w:r>
      <w:r w:rsidR="00B61D00">
        <w:rPr>
          <w:rFonts w:ascii="Times New Roman" w:eastAsia="Times New Roman" w:hAnsi="Times New Roman" w:cs="Times New Roman"/>
          <w:sz w:val="28"/>
        </w:rPr>
        <w:t>mu</w:t>
      </w:r>
      <w:r w:rsidR="00B61D00" w:rsidRPr="00B61D00">
        <w:rPr>
          <w:rFonts w:ascii="Times New Roman" w:eastAsia="Times New Roman" w:hAnsi="Times New Roman" w:cs="Times New Roman"/>
          <w:sz w:val="28"/>
        </w:rPr>
        <w:t xml:space="preserve"> program</w:t>
      </w:r>
      <w:r w:rsidR="00B61D00">
        <w:rPr>
          <w:rFonts w:ascii="Times New Roman" w:eastAsia="Times New Roman" w:hAnsi="Times New Roman" w:cs="Times New Roman"/>
          <w:sz w:val="28"/>
        </w:rPr>
        <w:t>u</w:t>
      </w:r>
      <w:r w:rsidR="007A7D92">
        <w:rPr>
          <w:rFonts w:ascii="Times New Roman" w:eastAsia="Times New Roman" w:hAnsi="Times New Roman" w:cs="Times New Roman"/>
          <w:sz w:val="28"/>
        </w:rPr>
        <w:t xml:space="preserve"> Spravedlivá transformace </w:t>
      </w:r>
    </w:p>
    <w:p w:rsidR="00537049" w:rsidRPr="00A022D3" w:rsidRDefault="00537049" w:rsidP="00DB34FF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187D4E" w:rsidRPr="00187D4E" w:rsidRDefault="004F6236" w:rsidP="00187D4E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371183">
        <w:rPr>
          <w:rFonts w:ascii="Times New Roman" w:eastAsia="Times New Roman" w:hAnsi="Times New Roman" w:cs="Times New Roman"/>
          <w:sz w:val="28"/>
        </w:rPr>
        <w:t>Patrik Pizinger</w:t>
      </w:r>
      <w:r w:rsidR="00187D4E" w:rsidRPr="00187D4E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A022D3" w:rsidRDefault="00371183" w:rsidP="00187D4E">
      <w:pPr>
        <w:spacing w:line="240" w:lineRule="auto"/>
        <w:ind w:left="1440"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Člen Rady Karlovarského kraje</w:t>
      </w:r>
    </w:p>
    <w:p w:rsidR="006015F9" w:rsidRPr="00A022D3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A022D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A022D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A022D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Pr="00CB71D3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71D3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60093E" w:rsidRPr="00CB71D3" w:rsidRDefault="0060093E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093E" w:rsidRPr="00CB71D3" w:rsidRDefault="0060093E" w:rsidP="0060093E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B71D3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60093E" w:rsidRPr="00CB71D3" w:rsidRDefault="0060093E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CB71D3">
        <w:rPr>
          <w:rFonts w:ascii="Times New Roman" w:eastAsia="Times New Roman" w:hAnsi="Times New Roman"/>
          <w:sz w:val="24"/>
          <w:szCs w:val="24"/>
        </w:rPr>
        <w:t>aktuální informace k Operačnímu programu Spravedlivá transformace</w:t>
      </w:r>
    </w:p>
    <w:p w:rsidR="006368DC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1D7D" w:rsidRPr="008240C2" w:rsidRDefault="00141D7D" w:rsidP="00BE67B8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3236" w:rsidRPr="008240C2" w:rsidRDefault="00643236" w:rsidP="00BE67B8">
      <w:pPr>
        <w:pStyle w:val="Odstavecseseznamem"/>
        <w:keepNext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240C2">
        <w:rPr>
          <w:rFonts w:ascii="Times New Roman" w:eastAsia="Times New Roman" w:hAnsi="Times New Roman"/>
          <w:b/>
          <w:sz w:val="24"/>
          <w:szCs w:val="24"/>
        </w:rPr>
        <w:t>žádají</w:t>
      </w:r>
    </w:p>
    <w:p w:rsidR="00141D7D" w:rsidRPr="008240C2" w:rsidRDefault="00643236" w:rsidP="00BE67B8">
      <w:pPr>
        <w:keepNext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8240C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řídící orgán Operačního programu Spravedlivá transformace o rozšíření seznamu základních škol v rámci plánované podpory regionálního školství o území města Mariánské Lázně a města Nejdek.</w:t>
      </w:r>
    </w:p>
    <w:p w:rsidR="00643236" w:rsidRPr="00643236" w:rsidRDefault="00643236" w:rsidP="00BE67B8">
      <w:pPr>
        <w:keepNext/>
        <w:spacing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141D7D" w:rsidRPr="008240C2" w:rsidRDefault="00141D7D" w:rsidP="00BE67B8">
      <w:pPr>
        <w:keepNext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3236" w:rsidRPr="008240C2" w:rsidRDefault="00643236" w:rsidP="00BE67B8">
      <w:pPr>
        <w:pStyle w:val="Odstavecseseznamem"/>
        <w:keepNext/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240C2">
        <w:rPr>
          <w:rFonts w:ascii="Times New Roman" w:eastAsia="Times New Roman" w:hAnsi="Times New Roman"/>
          <w:b/>
          <w:sz w:val="24"/>
          <w:szCs w:val="24"/>
        </w:rPr>
        <w:t>žádají</w:t>
      </w:r>
    </w:p>
    <w:p w:rsidR="007A7D92" w:rsidRDefault="008240C2" w:rsidP="00BE67B8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8240C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řídící orgán Operačního programu Spravedlivá transformace (OPST) o navýšení alokace OPST pro Karlovarský kraj o 1 mld. Kč na podporu rozvoje regionu se zaměřením na oblast vědy a výzkumu (</w:t>
      </w:r>
      <w:proofErr w:type="spellStart"/>
      <w:r w:rsidRPr="008240C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VaV</w:t>
      </w:r>
      <w:proofErr w:type="spellEnd"/>
      <w:r w:rsidRPr="008240C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), podnikatelského prostředí a dalších aktivit </w:t>
      </w:r>
      <w:proofErr w:type="spellStart"/>
      <w:r w:rsidRPr="008240C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podporovatelných</w:t>
      </w:r>
      <w:proofErr w:type="spellEnd"/>
      <w:r w:rsidRPr="008240C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z OPST, a to v případě nevyčerpání alokace OPST v Moravskoslezském a Ústeckém kraji.</w:t>
      </w:r>
    </w:p>
    <w:p w:rsidR="008240C2" w:rsidRPr="00CB71D3" w:rsidRDefault="008240C2" w:rsidP="0002276D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</w:p>
    <w:p w:rsidR="000D350C" w:rsidRPr="000D350C" w:rsidRDefault="000D350C" w:rsidP="000D350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350C" w:rsidRPr="000D350C" w:rsidRDefault="003438BC" w:rsidP="000D350C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schvalují</w:t>
      </w:r>
    </w:p>
    <w:p w:rsidR="000D350C" w:rsidRDefault="000D350C" w:rsidP="000D350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50C">
        <w:rPr>
          <w:rFonts w:ascii="Times New Roman" w:eastAsia="Times New Roman" w:hAnsi="Times New Roman" w:cs="Times New Roman"/>
          <w:sz w:val="24"/>
          <w:szCs w:val="24"/>
        </w:rPr>
        <w:t>navýšení alokace výzvy „Úvěr Transformace“ Národní rozvojové banky ve výši 300 mil. Kč</w:t>
      </w:r>
    </w:p>
    <w:p w:rsidR="000D350C" w:rsidRPr="000D350C" w:rsidRDefault="000D350C" w:rsidP="000D350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38BC" w:rsidRDefault="003438BC" w:rsidP="000D350C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438BC" w:rsidRPr="000D350C" w:rsidRDefault="003438BC" w:rsidP="000D350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D350C" w:rsidRPr="000D350C" w:rsidRDefault="003438BC" w:rsidP="000D350C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schvalují</w:t>
      </w:r>
    </w:p>
    <w:p w:rsidR="000D350C" w:rsidRPr="000D350C" w:rsidRDefault="000D350C" w:rsidP="000D350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50C">
        <w:rPr>
          <w:rFonts w:ascii="Times New Roman" w:eastAsia="Times New Roman" w:hAnsi="Times New Roman" w:cs="Times New Roman"/>
          <w:sz w:val="24"/>
          <w:szCs w:val="24"/>
        </w:rPr>
        <w:t>navýšení alokace výzvy „Obnova území – Veřejné služby, kultura, sport, rekreace“ ve výši 1</w:t>
      </w:r>
      <w:r w:rsidR="00C75D97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0D350C">
        <w:rPr>
          <w:rFonts w:ascii="Times New Roman" w:eastAsia="Times New Roman" w:hAnsi="Times New Roman" w:cs="Times New Roman"/>
          <w:sz w:val="24"/>
          <w:szCs w:val="24"/>
        </w:rPr>
        <w:t xml:space="preserve"> mil. Kč</w:t>
      </w:r>
    </w:p>
    <w:p w:rsidR="000D350C" w:rsidRDefault="000D350C" w:rsidP="00E14EC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D350C" w:rsidRDefault="000D350C" w:rsidP="00E14EC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411B2" w:rsidRPr="00CB71D3" w:rsidRDefault="00B411B2" w:rsidP="00E14E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B71D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B71D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A81F70" w:rsidRDefault="00A81F70" w:rsidP="00B468F0">
      <w:pPr>
        <w:pStyle w:val="Default"/>
        <w:jc w:val="both"/>
      </w:pPr>
      <w:r w:rsidRPr="00B468F0">
        <w:t xml:space="preserve">Patrik Pizinger informuje o aktuálním dění v oblasti Operačního programu Spravedlivé transformace a plánovaných aktivitách v rámci </w:t>
      </w:r>
      <w:r w:rsidR="001F6952" w:rsidRPr="00B468F0">
        <w:t>implementace</w:t>
      </w:r>
      <w:r w:rsidRPr="00B468F0">
        <w:t xml:space="preserve"> OPST.</w:t>
      </w:r>
    </w:p>
    <w:p w:rsidR="00D93B53" w:rsidRDefault="00D93B53" w:rsidP="00B468F0">
      <w:pPr>
        <w:pStyle w:val="Default"/>
        <w:jc w:val="both"/>
      </w:pPr>
    </w:p>
    <w:p w:rsidR="00D93B53" w:rsidRPr="008240C2" w:rsidRDefault="00D93B53" w:rsidP="00D93B53">
      <w:pPr>
        <w:pStyle w:val="Default"/>
        <w:jc w:val="both"/>
        <w:rPr>
          <w:b/>
        </w:rPr>
      </w:pPr>
      <w:r w:rsidRPr="008240C2">
        <w:rPr>
          <w:b/>
        </w:rPr>
        <w:t xml:space="preserve">Zdůvodnění </w:t>
      </w:r>
      <w:r w:rsidR="008240C2">
        <w:rPr>
          <w:b/>
        </w:rPr>
        <w:t xml:space="preserve">navržených </w:t>
      </w:r>
      <w:r w:rsidRPr="008240C2">
        <w:rPr>
          <w:b/>
        </w:rPr>
        <w:t>2 usnesení:</w:t>
      </w:r>
    </w:p>
    <w:p w:rsidR="00D93B53" w:rsidRPr="008240C2" w:rsidRDefault="00D93B53" w:rsidP="00D93B53">
      <w:pPr>
        <w:pStyle w:val="Prosttext"/>
        <w:jc w:val="both"/>
      </w:pPr>
      <w:r w:rsidRPr="008240C2">
        <w:t>Cílem 2. usnesení je zajistit lepší přístup ke vzdělání pro děti v těchto lokalitách a zlepšit kvalitu školských služeb. Rozšířením seznamu základních škol se přispěje k sociálnímu a ekonomickému rozvoji regionu.</w:t>
      </w:r>
    </w:p>
    <w:p w:rsidR="00D93B53" w:rsidRDefault="00D93B53" w:rsidP="00D93B53">
      <w:pPr>
        <w:pStyle w:val="Prosttext"/>
        <w:jc w:val="both"/>
      </w:pPr>
      <w:r w:rsidRPr="008240C2">
        <w:t>Zdůvodnění 3. usnesení: Efektivní podpora v těchto oblastech přispěje k celkovému zlepšení životních podmínek a nabídky služeb pro obyvatele Karlovarského kraje.</w:t>
      </w:r>
    </w:p>
    <w:p w:rsidR="00D93B53" w:rsidRPr="00B468F0" w:rsidRDefault="00D93B53" w:rsidP="00D93B53">
      <w:pPr>
        <w:pStyle w:val="Default"/>
        <w:jc w:val="both"/>
      </w:pPr>
    </w:p>
    <w:p w:rsidR="00B468F0" w:rsidRPr="00B468F0" w:rsidRDefault="00B468F0" w:rsidP="00B468F0">
      <w:pPr>
        <w:pStyle w:val="Default"/>
        <w:jc w:val="both"/>
        <w:rPr>
          <w:lang w:val="x-none"/>
        </w:rPr>
      </w:pPr>
      <w:r w:rsidRPr="00B468F0">
        <w:rPr>
          <w:b/>
          <w:bCs/>
          <w:lang w:val="x-none"/>
        </w:rPr>
        <w:t>Strategické projekty (dále také „SP“):</w:t>
      </w:r>
    </w:p>
    <w:p w:rsidR="00B468F0" w:rsidRPr="00B468F0" w:rsidRDefault="00B468F0" w:rsidP="00B468F0">
      <w:pPr>
        <w:pStyle w:val="Default"/>
        <w:jc w:val="both"/>
      </w:pPr>
      <w:r w:rsidRPr="00B468F0">
        <w:t>Aktuální informace o procesu schválení a postupu realizace strategických projektů Operačního programu Spravedlivá transformace naleznete v příloze č. 1 tohoto materiálu. Předpokládaná maximální celková výše dotace u SP z OPST činí 3 357 137 754,- Kč.</w:t>
      </w:r>
    </w:p>
    <w:p w:rsidR="00B468F0" w:rsidRPr="00B468F0" w:rsidRDefault="00B468F0" w:rsidP="00B468F0">
      <w:pPr>
        <w:pStyle w:val="Default"/>
        <w:jc w:val="both"/>
        <w:rPr>
          <w:lang w:val="x-none"/>
        </w:rPr>
      </w:pPr>
    </w:p>
    <w:p w:rsidR="00B468F0" w:rsidRPr="00B468F0" w:rsidRDefault="00B468F0" w:rsidP="00B468F0">
      <w:pPr>
        <w:pStyle w:val="Default"/>
        <w:jc w:val="both"/>
        <w:rPr>
          <w:b/>
          <w:bCs/>
          <w:lang w:val="x-none"/>
        </w:rPr>
      </w:pPr>
      <w:r w:rsidRPr="00B468F0">
        <w:rPr>
          <w:b/>
          <w:bCs/>
          <w:lang w:val="x-none"/>
        </w:rPr>
        <w:t>Tematické výzvy:</w:t>
      </w:r>
    </w:p>
    <w:p w:rsidR="00B468F0" w:rsidRPr="00B468F0" w:rsidRDefault="00B468F0" w:rsidP="00B468F0">
      <w:pPr>
        <w:pStyle w:val="Default"/>
        <w:jc w:val="both"/>
        <w:rPr>
          <w:lang w:val="x-none"/>
        </w:rPr>
      </w:pPr>
      <w:r w:rsidRPr="00B468F0">
        <w:rPr>
          <w:lang w:val="x-none"/>
        </w:rPr>
        <w:t>Podrobné informace o stavu čerpání již vyhlášených výzev za Karlovarský kraj naleznete v příloze č. 2 tohoto materiálu.</w:t>
      </w:r>
    </w:p>
    <w:p w:rsidR="00B468F0" w:rsidRDefault="00B468F0" w:rsidP="00B468F0">
      <w:pPr>
        <w:pStyle w:val="Default"/>
        <w:jc w:val="both"/>
        <w:rPr>
          <w:b/>
          <w:bCs/>
          <w:highlight w:val="yellow"/>
          <w:lang w:val="x-none"/>
        </w:rPr>
      </w:pPr>
    </w:p>
    <w:p w:rsidR="00B468F0" w:rsidRPr="00B468F0" w:rsidRDefault="00B468F0" w:rsidP="00B468F0">
      <w:pPr>
        <w:pStyle w:val="Default"/>
        <w:jc w:val="both"/>
        <w:rPr>
          <w:bCs/>
          <w:u w:val="single"/>
          <w:lang w:val="x-none"/>
        </w:rPr>
      </w:pPr>
      <w:r w:rsidRPr="00B468F0">
        <w:rPr>
          <w:bCs/>
          <w:u w:val="single"/>
          <w:lang w:val="x-none"/>
        </w:rPr>
        <w:t>Nově vyhlášené výzvy:</w:t>
      </w:r>
    </w:p>
    <w:p w:rsidR="00B468F0" w:rsidRPr="00B468F0" w:rsidRDefault="00B468F0" w:rsidP="00B468F0">
      <w:pPr>
        <w:pStyle w:val="Default"/>
        <w:jc w:val="both"/>
        <w:rPr>
          <w:b/>
          <w:bCs/>
          <w:lang w:val="x-none"/>
        </w:rPr>
      </w:pPr>
      <w:r w:rsidRPr="00B468F0">
        <w:rPr>
          <w:bCs/>
          <w:i/>
          <w:lang w:val="x-none"/>
        </w:rPr>
        <w:t>Posílení sociální stability v kraji</w:t>
      </w:r>
      <w:r w:rsidRPr="00B468F0">
        <w:rPr>
          <w:bCs/>
          <w:u w:val="single"/>
        </w:rPr>
        <w:t xml:space="preserve"> </w:t>
      </w:r>
      <w:r w:rsidRPr="00B468F0">
        <w:rPr>
          <w:bCs/>
          <w:lang w:val="x-none"/>
        </w:rPr>
        <w:t>– tematická výzva zaměřená pro obce a města s nejvyšším indexem sociálního vyloučení (10–30) v KVK na podporu vzdělávání a zaměstnanosti mladých lidí. Výzva byla vyhlášená ke dni 26. 7. 2024</w:t>
      </w:r>
    </w:p>
    <w:p w:rsidR="00B468F0" w:rsidRPr="00B468F0" w:rsidRDefault="00B468F0" w:rsidP="00B468F0">
      <w:pPr>
        <w:pStyle w:val="Default"/>
        <w:numPr>
          <w:ilvl w:val="0"/>
          <w:numId w:val="25"/>
        </w:numPr>
        <w:jc w:val="both"/>
        <w:rPr>
          <w:bCs/>
        </w:rPr>
      </w:pPr>
      <w:r w:rsidRPr="00B468F0">
        <w:rPr>
          <w:bCs/>
        </w:rPr>
        <w:t>Pilíře podpory:</w:t>
      </w:r>
    </w:p>
    <w:p w:rsidR="00B468F0" w:rsidRPr="00B468F0" w:rsidRDefault="00B468F0" w:rsidP="00B468F0">
      <w:pPr>
        <w:pStyle w:val="Default"/>
        <w:numPr>
          <w:ilvl w:val="2"/>
          <w:numId w:val="24"/>
        </w:numPr>
        <w:jc w:val="both"/>
        <w:rPr>
          <w:bCs/>
        </w:rPr>
      </w:pPr>
      <w:r w:rsidRPr="00B468F0">
        <w:rPr>
          <w:bCs/>
        </w:rPr>
        <w:t>Kompetence zaměstnanců</w:t>
      </w:r>
    </w:p>
    <w:p w:rsidR="00B468F0" w:rsidRPr="00B468F0" w:rsidRDefault="00B468F0" w:rsidP="00B468F0">
      <w:pPr>
        <w:pStyle w:val="Default"/>
        <w:numPr>
          <w:ilvl w:val="2"/>
          <w:numId w:val="24"/>
        </w:numPr>
        <w:jc w:val="both"/>
        <w:rPr>
          <w:bCs/>
        </w:rPr>
      </w:pPr>
      <w:r w:rsidRPr="00B468F0">
        <w:rPr>
          <w:bCs/>
        </w:rPr>
        <w:t>Personální kapacita</w:t>
      </w:r>
    </w:p>
    <w:p w:rsidR="00B468F0" w:rsidRPr="00B468F0" w:rsidRDefault="00B468F0" w:rsidP="00B468F0">
      <w:pPr>
        <w:pStyle w:val="Default"/>
        <w:numPr>
          <w:ilvl w:val="2"/>
          <w:numId w:val="24"/>
        </w:numPr>
        <w:jc w:val="both"/>
        <w:rPr>
          <w:bCs/>
        </w:rPr>
      </w:pPr>
      <w:r w:rsidRPr="00B468F0">
        <w:rPr>
          <w:bCs/>
        </w:rPr>
        <w:t>Podpora kolektivů</w:t>
      </w:r>
    </w:p>
    <w:p w:rsidR="00B468F0" w:rsidRDefault="00B468F0" w:rsidP="00B468F0">
      <w:pPr>
        <w:pStyle w:val="Default"/>
        <w:jc w:val="both"/>
        <w:rPr>
          <w:lang w:val="x-none"/>
        </w:rPr>
      </w:pPr>
      <w:r w:rsidRPr="00B468F0">
        <w:rPr>
          <w:lang w:val="x-none"/>
        </w:rPr>
        <w:t>Přesné znění a podrobné informace o výzvě naleznete v příloze č. 3 tohoto materiálu.</w:t>
      </w:r>
    </w:p>
    <w:p w:rsidR="00FF248F" w:rsidRDefault="00FF248F" w:rsidP="00B468F0">
      <w:pPr>
        <w:pStyle w:val="Default"/>
        <w:jc w:val="both"/>
        <w:rPr>
          <w:lang w:val="x-none"/>
        </w:rPr>
      </w:pPr>
    </w:p>
    <w:p w:rsidR="00FF248F" w:rsidRDefault="00FF248F" w:rsidP="00B468F0">
      <w:pPr>
        <w:pStyle w:val="Default"/>
        <w:jc w:val="both"/>
        <w:rPr>
          <w:bCs/>
        </w:rPr>
      </w:pPr>
      <w:r w:rsidRPr="00B468F0">
        <w:rPr>
          <w:bCs/>
          <w:i/>
          <w:lang w:val="x-none"/>
        </w:rPr>
        <w:t xml:space="preserve">Infrastruktura pro zájmové vzdělávání </w:t>
      </w:r>
      <w:r w:rsidRPr="00B468F0">
        <w:rPr>
          <w:bCs/>
          <w:lang w:val="x-none"/>
        </w:rPr>
        <w:t>- podpora bude zaměřena na vybudování, modernizaci a vybavení odborných prostor ve vazbě na přírodní vědy, polytechnické vzdělávání, cizí jazyky, práci s digitálními technologiemi v zařízeních pro zájmové a neformální vzdělávání a celoživotní učení.</w:t>
      </w:r>
      <w:r w:rsidR="00CD637F">
        <w:rPr>
          <w:bCs/>
        </w:rPr>
        <w:t xml:space="preserve"> Výzva byla vyhlášená ke dni 15. 8. 2024.</w:t>
      </w:r>
    </w:p>
    <w:p w:rsidR="00CD637F" w:rsidRPr="00CD637F" w:rsidRDefault="00CD637F" w:rsidP="00B468F0">
      <w:pPr>
        <w:pStyle w:val="Default"/>
        <w:jc w:val="both"/>
      </w:pPr>
      <w:r>
        <w:t>Přesné znění a podrobné informace o výzvě naleznete v příloze č. 4 tohoto materiálu.</w:t>
      </w:r>
    </w:p>
    <w:p w:rsidR="00570EAB" w:rsidRPr="00B468F0" w:rsidRDefault="00570EAB" w:rsidP="00B468F0">
      <w:pPr>
        <w:pStyle w:val="Default"/>
        <w:jc w:val="both"/>
        <w:rPr>
          <w:lang w:val="x-none"/>
        </w:rPr>
      </w:pPr>
    </w:p>
    <w:p w:rsidR="00B468F0" w:rsidRPr="00B468F0" w:rsidRDefault="00B468F0" w:rsidP="00B468F0">
      <w:pPr>
        <w:pStyle w:val="Default"/>
        <w:jc w:val="both"/>
        <w:rPr>
          <w:bCs/>
          <w:u w:val="single"/>
          <w:lang w:val="x-none"/>
        </w:rPr>
      </w:pPr>
      <w:r w:rsidRPr="00B468F0">
        <w:rPr>
          <w:bCs/>
          <w:u w:val="single"/>
          <w:lang w:val="x-none"/>
        </w:rPr>
        <w:t>Připravované výzvy:</w:t>
      </w:r>
    </w:p>
    <w:p w:rsidR="00B468F0" w:rsidRPr="00B468F0" w:rsidRDefault="00B468F0" w:rsidP="00B468F0">
      <w:pPr>
        <w:pStyle w:val="Default"/>
        <w:jc w:val="both"/>
        <w:rPr>
          <w:bCs/>
          <w:lang w:val="x-none"/>
        </w:rPr>
      </w:pPr>
      <w:r w:rsidRPr="00B468F0">
        <w:rPr>
          <w:bCs/>
          <w:i/>
          <w:lang w:val="x-none"/>
        </w:rPr>
        <w:t xml:space="preserve">Podpora regionálního školství </w:t>
      </w:r>
      <w:r w:rsidRPr="00B468F0">
        <w:rPr>
          <w:bCs/>
          <w:lang w:val="x-none"/>
        </w:rPr>
        <w:t>- podpora bude směřovat komplexně do modernizace vzdělávací infrastruktury základních škol. Předpokládaný termín vyhlášení výzvy je ve 3Q 2024.</w:t>
      </w:r>
    </w:p>
    <w:p w:rsidR="00B468F0" w:rsidRPr="00B468F0" w:rsidRDefault="00B468F0" w:rsidP="00B468F0">
      <w:pPr>
        <w:pStyle w:val="Default"/>
        <w:jc w:val="both"/>
        <w:rPr>
          <w:bCs/>
          <w:lang w:val="x-none"/>
        </w:rPr>
      </w:pPr>
      <w:r w:rsidRPr="00B468F0">
        <w:rPr>
          <w:bCs/>
          <w:i/>
          <w:lang w:val="x-none"/>
        </w:rPr>
        <w:t xml:space="preserve">Zájmové vzdělávání a osvěta </w:t>
      </w:r>
      <w:r w:rsidRPr="00B468F0">
        <w:rPr>
          <w:bCs/>
          <w:lang w:val="x-none"/>
        </w:rPr>
        <w:t>- podpora bude zaměřena na neinvestiční projekty zaměřené na vzdělávání a osvětu v oblasti změny klimatu a transformace regionů a na odborné kapacity. Předpokládaný termín vyhlášení výzvy je stanoven na srpen 2024.</w:t>
      </w:r>
    </w:p>
    <w:p w:rsidR="00570EAB" w:rsidRPr="00B468F0" w:rsidRDefault="00570EAB" w:rsidP="00B468F0">
      <w:pPr>
        <w:pStyle w:val="Default"/>
        <w:jc w:val="both"/>
      </w:pPr>
    </w:p>
    <w:p w:rsidR="00B468F0" w:rsidRPr="00B468F0" w:rsidRDefault="00B468F0" w:rsidP="00B468F0">
      <w:pPr>
        <w:pStyle w:val="Default"/>
        <w:jc w:val="both"/>
        <w:rPr>
          <w:b/>
          <w:bCs/>
          <w:lang w:val="x-none"/>
        </w:rPr>
      </w:pPr>
      <w:r w:rsidRPr="00B468F0">
        <w:rPr>
          <w:b/>
          <w:bCs/>
          <w:lang w:val="x-none"/>
        </w:rPr>
        <w:t>Zastřešující projekty OPST Karlovarského kraje:</w:t>
      </w:r>
    </w:p>
    <w:p w:rsidR="00C71B5E" w:rsidRDefault="00B468F0" w:rsidP="00B468F0">
      <w:pPr>
        <w:pStyle w:val="Default"/>
        <w:jc w:val="both"/>
      </w:pPr>
      <w:r w:rsidRPr="00B468F0">
        <w:rPr>
          <w:u w:val="single"/>
          <w:lang w:val="x-none"/>
        </w:rPr>
        <w:t>Vouchery pro podnikatele</w:t>
      </w:r>
      <w:r w:rsidRPr="00B468F0">
        <w:rPr>
          <w:lang w:val="x-none"/>
        </w:rPr>
        <w:t xml:space="preserve"> – ke dni 29. 7. 2024 bylo podáno celkem 185 žádostí v celkovém finančním objemu 40 mil. Kč. Počet schválených žádostí Radou Karlovarského kraje je celkem 50 žádostí v</w:t>
      </w:r>
      <w:r w:rsidR="00C71B5E">
        <w:t xml:space="preserve"> </w:t>
      </w:r>
      <w:r w:rsidRPr="00B468F0">
        <w:rPr>
          <w:lang w:val="x-none"/>
        </w:rPr>
        <w:t>celkové výši 18 mil. Kč</w:t>
      </w:r>
      <w:r w:rsidR="00C71B5E">
        <w:t>.</w:t>
      </w:r>
    </w:p>
    <w:p w:rsidR="00C71B5E" w:rsidRPr="00C71B5E" w:rsidRDefault="00C71B5E" w:rsidP="00B468F0">
      <w:pPr>
        <w:pStyle w:val="Default"/>
        <w:jc w:val="both"/>
      </w:pPr>
    </w:p>
    <w:p w:rsidR="00B468F0" w:rsidRPr="00B468F0" w:rsidRDefault="00B468F0" w:rsidP="00B468F0">
      <w:pPr>
        <w:pStyle w:val="Default"/>
        <w:jc w:val="both"/>
        <w:rPr>
          <w:u w:val="single"/>
          <w:lang w:val="x-none"/>
        </w:rPr>
      </w:pPr>
      <w:r w:rsidRPr="00B468F0">
        <w:rPr>
          <w:u w:val="single"/>
          <w:lang w:val="x-none"/>
        </w:rPr>
        <w:t>Vouchery pro veřejný sektor:</w:t>
      </w:r>
    </w:p>
    <w:p w:rsidR="00B468F0" w:rsidRPr="00B468F0" w:rsidRDefault="00B468F0" w:rsidP="00B468F0">
      <w:pPr>
        <w:pStyle w:val="Default"/>
        <w:jc w:val="both"/>
        <w:rPr>
          <w:lang w:val="x-none"/>
        </w:rPr>
      </w:pPr>
      <w:r w:rsidRPr="00B468F0">
        <w:rPr>
          <w:i/>
          <w:lang w:val="x-none"/>
        </w:rPr>
        <w:t>Příprava projektů</w:t>
      </w:r>
      <w:r w:rsidRPr="00B468F0">
        <w:rPr>
          <w:lang w:val="x-none"/>
        </w:rPr>
        <w:t xml:space="preserve"> – dne 15. 7. byla výzva vyhlášena prostřednictvím Odboru investic. Příjem žádostí bude spuštěn dne 16. 9. 2024.</w:t>
      </w:r>
    </w:p>
    <w:p w:rsidR="00B468F0" w:rsidRPr="00B468F0" w:rsidRDefault="00B468F0" w:rsidP="00B468F0">
      <w:pPr>
        <w:pStyle w:val="Default"/>
        <w:jc w:val="both"/>
        <w:rPr>
          <w:lang w:val="x-none"/>
        </w:rPr>
      </w:pPr>
      <w:r w:rsidRPr="00B468F0">
        <w:rPr>
          <w:i/>
          <w:lang w:val="x-none"/>
        </w:rPr>
        <w:t>Náborové příspěvky pro učitele</w:t>
      </w:r>
      <w:r w:rsidRPr="00B468F0">
        <w:rPr>
          <w:lang w:val="x-none"/>
        </w:rPr>
        <w:t xml:space="preserve"> – dne 26. 6. 2024 byla výzva vyhlášena prostřednictvím Odboru investic. Příjem žádostí byl spuštěn dne 1. 8. 2024.</w:t>
      </w:r>
    </w:p>
    <w:p w:rsidR="00B468F0" w:rsidRPr="00B468F0" w:rsidRDefault="00B468F0" w:rsidP="00B468F0">
      <w:pPr>
        <w:pStyle w:val="Default"/>
        <w:jc w:val="both"/>
        <w:rPr>
          <w:lang w:val="x-none"/>
        </w:rPr>
      </w:pPr>
      <w:r w:rsidRPr="00B468F0">
        <w:rPr>
          <w:i/>
          <w:lang w:val="x-none"/>
        </w:rPr>
        <w:t xml:space="preserve">Kreativní vouchery pro veřejný sektor - </w:t>
      </w:r>
      <w:r w:rsidRPr="00B468F0">
        <w:rPr>
          <w:lang w:val="x-none"/>
        </w:rPr>
        <w:t xml:space="preserve">výzva byla ze strany řídícího orgánu vyhlášena ke dni 31. 7. 2024. Vouchery budou zaměřeny na podporu služeb subjektů působících v kulturních a kreativních odvětvích jako architektura, interiérový design, design služeb, UX/UI design, film, video, televize, hudba, zvuk, fotografie, grafický design, </w:t>
      </w:r>
      <w:proofErr w:type="spellStart"/>
      <w:r w:rsidRPr="00B468F0">
        <w:rPr>
          <w:lang w:val="x-none"/>
        </w:rPr>
        <w:t>branding</w:t>
      </w:r>
      <w:proofErr w:type="spellEnd"/>
      <w:r w:rsidRPr="00B468F0">
        <w:rPr>
          <w:lang w:val="x-none"/>
        </w:rPr>
        <w:t>, herní průmysl, informační a komunikační technologie, webdesign, kulturní dědictví nebo práce s texty.</w:t>
      </w:r>
    </w:p>
    <w:p w:rsidR="00B468F0" w:rsidRPr="00B468F0" w:rsidRDefault="00B468F0" w:rsidP="00B468F0">
      <w:pPr>
        <w:pStyle w:val="Default"/>
        <w:jc w:val="both"/>
        <w:rPr>
          <w:lang w:val="x-none"/>
        </w:rPr>
      </w:pPr>
      <w:r w:rsidRPr="00B468F0">
        <w:rPr>
          <w:i/>
          <w:lang w:val="x-none"/>
        </w:rPr>
        <w:t xml:space="preserve">Digitální a </w:t>
      </w:r>
      <w:proofErr w:type="spellStart"/>
      <w:r w:rsidRPr="00B468F0">
        <w:rPr>
          <w:i/>
          <w:lang w:val="x-none"/>
        </w:rPr>
        <w:t>Preinkubační</w:t>
      </w:r>
      <w:proofErr w:type="spellEnd"/>
      <w:r w:rsidRPr="00B468F0">
        <w:rPr>
          <w:lang w:val="x-none"/>
        </w:rPr>
        <w:t xml:space="preserve"> – předběžný termín vyhlášení výzvy ze strany řídícího orgánu Ministerstva životního prostředí je stanoven na 2. pol. r. 2024.</w:t>
      </w:r>
    </w:p>
    <w:p w:rsidR="00B468F0" w:rsidRPr="00B468F0" w:rsidRDefault="00B468F0" w:rsidP="00B468F0">
      <w:pPr>
        <w:pStyle w:val="Default"/>
        <w:jc w:val="both"/>
      </w:pPr>
    </w:p>
    <w:p w:rsidR="00B468F0" w:rsidRPr="00B468F0" w:rsidRDefault="00B468F0" w:rsidP="00B468F0">
      <w:pPr>
        <w:pStyle w:val="Default"/>
        <w:jc w:val="both"/>
        <w:rPr>
          <w:lang w:val="x-none"/>
        </w:rPr>
      </w:pPr>
      <w:r w:rsidRPr="00B468F0">
        <w:rPr>
          <w:b/>
          <w:bCs/>
          <w:lang w:val="x-none"/>
        </w:rPr>
        <w:t>Finanční nástroje:</w:t>
      </w:r>
    </w:p>
    <w:p w:rsidR="00B468F0" w:rsidRDefault="00B468F0" w:rsidP="00B468F0">
      <w:pPr>
        <w:pStyle w:val="Default"/>
        <w:jc w:val="both"/>
      </w:pPr>
      <w:r w:rsidRPr="00B468F0">
        <w:rPr>
          <w:u w:val="single"/>
        </w:rPr>
        <w:t xml:space="preserve">Úvěr transformace pro podnikatele (finanční nástroje) </w:t>
      </w:r>
      <w:r w:rsidRPr="00B468F0">
        <w:t xml:space="preserve">– k datu 31. 7. 2024 bylo podáno 34 žádostí do Úvěru transformace o celkovém finančním objemu 624 mil. Kč. Počet uzavřených smluv je 8 o celkovém finančním objemu 105,8 mil. Kč. </w:t>
      </w:r>
    </w:p>
    <w:p w:rsidR="000A4C5F" w:rsidRPr="00B468F0" w:rsidRDefault="000A4C5F" w:rsidP="00B468F0">
      <w:pPr>
        <w:pStyle w:val="Default"/>
        <w:jc w:val="both"/>
      </w:pPr>
      <w:r>
        <w:t>Došlo k navýšení alokace o 300 mil. Kč.</w:t>
      </w:r>
    </w:p>
    <w:p w:rsidR="00B468F0" w:rsidRPr="00B468F0" w:rsidRDefault="00B468F0" w:rsidP="00B468F0">
      <w:pPr>
        <w:pStyle w:val="Default"/>
        <w:jc w:val="both"/>
      </w:pPr>
      <w:r w:rsidRPr="00B468F0">
        <w:t>Podrobné informace naleznete v příloze č. 4 tohoto materiálu.</w:t>
      </w:r>
    </w:p>
    <w:p w:rsidR="00B468F0" w:rsidRPr="00B468F0" w:rsidRDefault="00B468F0" w:rsidP="00B468F0">
      <w:pPr>
        <w:pStyle w:val="Default"/>
        <w:jc w:val="both"/>
        <w:rPr>
          <w:lang w:val="x-none"/>
        </w:rPr>
      </w:pPr>
    </w:p>
    <w:p w:rsidR="00B468F0" w:rsidRPr="00B468F0" w:rsidRDefault="00B468F0" w:rsidP="00B468F0">
      <w:pPr>
        <w:pStyle w:val="Default"/>
        <w:jc w:val="both"/>
        <w:rPr>
          <w:b/>
          <w:bCs/>
          <w:u w:val="single"/>
          <w:lang w:val="x-none"/>
        </w:rPr>
      </w:pPr>
      <w:r w:rsidRPr="00B468F0">
        <w:rPr>
          <w:b/>
          <w:bCs/>
          <w:u w:val="single"/>
          <w:lang w:val="x-none"/>
        </w:rPr>
        <w:t>Monitorovací výbor OPST:</w:t>
      </w:r>
    </w:p>
    <w:p w:rsidR="00B468F0" w:rsidRPr="00B468F0" w:rsidRDefault="00B468F0" w:rsidP="00B468F0">
      <w:pPr>
        <w:pStyle w:val="Default"/>
        <w:jc w:val="both"/>
        <w:rPr>
          <w:lang w:val="x-none"/>
        </w:rPr>
      </w:pPr>
      <w:r w:rsidRPr="00B468F0">
        <w:rPr>
          <w:lang w:val="x-none"/>
        </w:rPr>
        <w:t xml:space="preserve">Dne 11. 6. 2024 proběhlo v pořadí </w:t>
      </w:r>
      <w:r w:rsidRPr="00B468F0">
        <w:rPr>
          <w:u w:val="single"/>
          <w:lang w:val="x-none"/>
        </w:rPr>
        <w:t>8. zasedání Monitorovacího výboru OPST</w:t>
      </w:r>
      <w:r w:rsidRPr="00B468F0">
        <w:rPr>
          <w:lang w:val="x-none"/>
        </w:rPr>
        <w:t xml:space="preserve">, na kterém byla schválena Kritéria pro výběr operací v oblastech – </w:t>
      </w:r>
      <w:r w:rsidRPr="00B468F0">
        <w:rPr>
          <w:i/>
          <w:lang w:val="x-none"/>
        </w:rPr>
        <w:t>„Podpora regionálního školství“</w:t>
      </w:r>
      <w:r w:rsidRPr="00B468F0">
        <w:rPr>
          <w:lang w:val="x-none"/>
        </w:rPr>
        <w:t xml:space="preserve"> a </w:t>
      </w:r>
      <w:r w:rsidRPr="00B468F0">
        <w:rPr>
          <w:i/>
          <w:lang w:val="x-none"/>
        </w:rPr>
        <w:t>„Zájmové vzdělávání a osvěta“</w:t>
      </w:r>
      <w:r w:rsidRPr="00B468F0">
        <w:rPr>
          <w:lang w:val="x-none"/>
        </w:rPr>
        <w:t>.</w:t>
      </w:r>
    </w:p>
    <w:p w:rsidR="00B468F0" w:rsidRPr="00B468F0" w:rsidRDefault="00B468F0" w:rsidP="00B468F0">
      <w:pPr>
        <w:pStyle w:val="Default"/>
        <w:rPr>
          <w:lang w:val="x-none"/>
        </w:rPr>
      </w:pPr>
      <w:r w:rsidRPr="00B468F0">
        <w:rPr>
          <w:lang w:val="x-none"/>
        </w:rPr>
        <w:t>Další Monitorovací výbor proběhne na podzim roku 2024.</w:t>
      </w:r>
    </w:p>
    <w:p w:rsidR="00B468F0" w:rsidRPr="00B468F0" w:rsidRDefault="00B468F0" w:rsidP="00B468F0">
      <w:pPr>
        <w:pStyle w:val="Default"/>
        <w:rPr>
          <w:lang w:val="x-none"/>
        </w:rPr>
      </w:pPr>
    </w:p>
    <w:p w:rsidR="00B468F0" w:rsidRPr="00B468F0" w:rsidRDefault="00B468F0" w:rsidP="00B468F0">
      <w:pPr>
        <w:pStyle w:val="Default"/>
        <w:jc w:val="both"/>
        <w:rPr>
          <w:lang w:val="x-none"/>
        </w:rPr>
      </w:pPr>
      <w:r w:rsidRPr="00B468F0">
        <w:rPr>
          <w:lang w:val="x-none"/>
        </w:rPr>
        <w:t>Detaily jsou uvedeny v zápisu z 8. Monitorovacího výboru, který je přílohou č. 5 tohoto materiálu.</w:t>
      </w:r>
    </w:p>
    <w:p w:rsidR="00B468F0" w:rsidRPr="00B468F0" w:rsidRDefault="00B468F0" w:rsidP="00570EAB">
      <w:pPr>
        <w:pStyle w:val="Default"/>
        <w:jc w:val="both"/>
      </w:pPr>
    </w:p>
    <w:p w:rsidR="00B468F0" w:rsidRPr="00B468F0" w:rsidRDefault="00B468F0" w:rsidP="00570EAB">
      <w:pPr>
        <w:pStyle w:val="Default"/>
        <w:jc w:val="both"/>
      </w:pPr>
    </w:p>
    <w:p w:rsidR="00B468F0" w:rsidRPr="00B468F0" w:rsidRDefault="00B468F0" w:rsidP="00B468F0">
      <w:pPr>
        <w:pStyle w:val="Default"/>
        <w:jc w:val="both"/>
        <w:rPr>
          <w:b/>
          <w:bCs/>
          <w:lang w:val="x-none"/>
        </w:rPr>
      </w:pPr>
      <w:r w:rsidRPr="00B468F0">
        <w:rPr>
          <w:b/>
          <w:bCs/>
          <w:u w:val="single"/>
          <w:lang w:val="x-none"/>
        </w:rPr>
        <w:t>Přílohy:</w:t>
      </w:r>
      <w:r w:rsidRPr="00B468F0">
        <w:rPr>
          <w:b/>
          <w:bCs/>
          <w:lang w:val="x-none"/>
        </w:rPr>
        <w:t xml:space="preserve"> </w:t>
      </w:r>
    </w:p>
    <w:p w:rsidR="00B468F0" w:rsidRPr="00B468F0" w:rsidRDefault="00B468F0" w:rsidP="00B468F0">
      <w:pPr>
        <w:pStyle w:val="Default"/>
        <w:jc w:val="both"/>
      </w:pPr>
    </w:p>
    <w:p w:rsidR="00B468F0" w:rsidRPr="00B468F0" w:rsidRDefault="00B468F0" w:rsidP="00B468F0">
      <w:pPr>
        <w:pStyle w:val="Default"/>
        <w:jc w:val="both"/>
      </w:pPr>
      <w:r>
        <w:t>B2</w:t>
      </w:r>
      <w:r w:rsidRPr="00B468F0">
        <w:t>_ORR_harmonogram_SP_priloha_c_1</w:t>
      </w:r>
    </w:p>
    <w:p w:rsidR="00B468F0" w:rsidRPr="00B468F0" w:rsidRDefault="00B468F0" w:rsidP="00B468F0">
      <w:pPr>
        <w:pStyle w:val="Default"/>
        <w:jc w:val="both"/>
      </w:pPr>
      <w:r>
        <w:t>B2</w:t>
      </w:r>
      <w:r w:rsidRPr="00B468F0">
        <w:t>_ORR_stav_cerpani_vyzev_priloha_c_2</w:t>
      </w:r>
    </w:p>
    <w:p w:rsidR="00B468F0" w:rsidRDefault="00B468F0" w:rsidP="00B468F0">
      <w:pPr>
        <w:pStyle w:val="Default"/>
        <w:jc w:val="both"/>
      </w:pPr>
      <w:r>
        <w:t>B2</w:t>
      </w:r>
      <w:r w:rsidRPr="00B468F0">
        <w:t>_ORR_vyzva_posileni_socialni_stability_c_3</w:t>
      </w:r>
    </w:p>
    <w:p w:rsidR="00CD637F" w:rsidRPr="00B468F0" w:rsidRDefault="00CD637F" w:rsidP="00B468F0">
      <w:pPr>
        <w:pStyle w:val="Default"/>
        <w:jc w:val="both"/>
      </w:pPr>
      <w:r w:rsidRPr="00CD637F">
        <w:t>B2_ORR_vyzva_infrastruktura_pro_dalsi_vzdelavani_c_4</w:t>
      </w:r>
    </w:p>
    <w:p w:rsidR="00B468F0" w:rsidRPr="00B468F0" w:rsidRDefault="00B468F0" w:rsidP="00B468F0">
      <w:pPr>
        <w:pStyle w:val="Default"/>
        <w:jc w:val="both"/>
      </w:pPr>
      <w:r>
        <w:t>B2</w:t>
      </w:r>
      <w:r w:rsidRPr="00B468F0">
        <w:t>_ORR_uver_transformace_priloha_c_</w:t>
      </w:r>
      <w:r w:rsidR="00CD637F">
        <w:t>5</w:t>
      </w:r>
    </w:p>
    <w:p w:rsidR="00B468F0" w:rsidRPr="00B468F0" w:rsidRDefault="00B468F0" w:rsidP="00B468F0">
      <w:pPr>
        <w:pStyle w:val="Default"/>
        <w:jc w:val="both"/>
      </w:pPr>
      <w:r>
        <w:t>B2</w:t>
      </w:r>
      <w:r w:rsidRPr="00B468F0">
        <w:t>_ORR_zapis_8_MV_priloha_c_</w:t>
      </w:r>
      <w:r w:rsidR="00CD637F">
        <w:t>6</w:t>
      </w:r>
    </w:p>
    <w:p w:rsidR="00A81F70" w:rsidRPr="00537049" w:rsidRDefault="00A81F70" w:rsidP="00A81F70">
      <w:pPr>
        <w:pStyle w:val="Default"/>
        <w:jc w:val="both"/>
        <w:rPr>
          <w:highlight w:val="yellow"/>
        </w:rPr>
      </w:pPr>
    </w:p>
    <w:sectPr w:rsidR="00A81F70" w:rsidRPr="00537049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70A" w:rsidRDefault="005E470A">
      <w:pPr>
        <w:spacing w:line="240" w:lineRule="auto"/>
      </w:pPr>
      <w:r>
        <w:separator/>
      </w:r>
    </w:p>
  </w:endnote>
  <w:endnote w:type="continuationSeparator" w:id="0">
    <w:p w:rsidR="005E470A" w:rsidRDefault="005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70A" w:rsidRDefault="005E470A">
      <w:pPr>
        <w:spacing w:line="240" w:lineRule="auto"/>
      </w:pPr>
      <w:r>
        <w:separator/>
      </w:r>
    </w:p>
  </w:footnote>
  <w:footnote w:type="continuationSeparator" w:id="0">
    <w:p w:rsidR="005E470A" w:rsidRDefault="005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0D6" w:rsidRDefault="005A29BF" w:rsidP="002A34C8">
    <w:pPr>
      <w:pStyle w:val="Zhlav"/>
    </w:pPr>
    <w:r>
      <w:rPr>
        <w:noProof/>
      </w:rPr>
      <w:drawing>
        <wp:inline distT="0" distB="0" distL="0" distR="0" wp14:anchorId="19CE384C" wp14:editId="17526F76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5063F6"/>
    <w:multiLevelType w:val="hybridMultilevel"/>
    <w:tmpl w:val="52783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06493"/>
    <w:multiLevelType w:val="hybridMultilevel"/>
    <w:tmpl w:val="BCE2C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2046CC5"/>
    <w:multiLevelType w:val="hybridMultilevel"/>
    <w:tmpl w:val="29760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7"/>
  </w:num>
  <w:num w:numId="3">
    <w:abstractNumId w:val="24"/>
  </w:num>
  <w:num w:numId="4">
    <w:abstractNumId w:val="13"/>
  </w:num>
  <w:num w:numId="5">
    <w:abstractNumId w:val="18"/>
  </w:num>
  <w:num w:numId="6">
    <w:abstractNumId w:val="22"/>
  </w:num>
  <w:num w:numId="7">
    <w:abstractNumId w:val="19"/>
  </w:num>
  <w:num w:numId="8">
    <w:abstractNumId w:val="9"/>
  </w:num>
  <w:num w:numId="9">
    <w:abstractNumId w:val="1"/>
  </w:num>
  <w:num w:numId="10">
    <w:abstractNumId w:val="21"/>
  </w:num>
  <w:num w:numId="11">
    <w:abstractNumId w:val="7"/>
  </w:num>
  <w:num w:numId="12">
    <w:abstractNumId w:val="11"/>
  </w:num>
  <w:num w:numId="13">
    <w:abstractNumId w:val="14"/>
  </w:num>
  <w:num w:numId="14">
    <w:abstractNumId w:val="5"/>
  </w:num>
  <w:num w:numId="15">
    <w:abstractNumId w:val="10"/>
  </w:num>
  <w:num w:numId="16">
    <w:abstractNumId w:val="12"/>
  </w:num>
  <w:num w:numId="17">
    <w:abstractNumId w:val="4"/>
  </w:num>
  <w:num w:numId="18">
    <w:abstractNumId w:val="2"/>
  </w:num>
  <w:num w:numId="19">
    <w:abstractNumId w:val="3"/>
  </w:num>
  <w:num w:numId="20">
    <w:abstractNumId w:val="23"/>
  </w:num>
  <w:num w:numId="21">
    <w:abstractNumId w:val="15"/>
  </w:num>
  <w:num w:numId="22">
    <w:abstractNumId w:val="6"/>
  </w:num>
  <w:num w:numId="23">
    <w:abstractNumId w:val="8"/>
  </w:num>
  <w:num w:numId="24">
    <w:abstractNumId w:val="1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2276D"/>
    <w:rsid w:val="00035E25"/>
    <w:rsid w:val="0004097F"/>
    <w:rsid w:val="000461FD"/>
    <w:rsid w:val="00046A62"/>
    <w:rsid w:val="00054044"/>
    <w:rsid w:val="000569D6"/>
    <w:rsid w:val="00095A42"/>
    <w:rsid w:val="000A4C5F"/>
    <w:rsid w:val="000A6361"/>
    <w:rsid w:val="000B415B"/>
    <w:rsid w:val="000B5EC2"/>
    <w:rsid w:val="000D350C"/>
    <w:rsid w:val="000D756F"/>
    <w:rsid w:val="000E7773"/>
    <w:rsid w:val="000F16F4"/>
    <w:rsid w:val="000F595F"/>
    <w:rsid w:val="0010765C"/>
    <w:rsid w:val="00114423"/>
    <w:rsid w:val="00135052"/>
    <w:rsid w:val="00141D7D"/>
    <w:rsid w:val="00142ADF"/>
    <w:rsid w:val="00161133"/>
    <w:rsid w:val="00181F2D"/>
    <w:rsid w:val="00184486"/>
    <w:rsid w:val="001847AC"/>
    <w:rsid w:val="00186776"/>
    <w:rsid w:val="00187D4E"/>
    <w:rsid w:val="001C2013"/>
    <w:rsid w:val="001C4B96"/>
    <w:rsid w:val="001E2ED1"/>
    <w:rsid w:val="001F6952"/>
    <w:rsid w:val="00212491"/>
    <w:rsid w:val="00217DD2"/>
    <w:rsid w:val="00236E1A"/>
    <w:rsid w:val="00246EF8"/>
    <w:rsid w:val="00270440"/>
    <w:rsid w:val="00276771"/>
    <w:rsid w:val="002A0631"/>
    <w:rsid w:val="002A34C8"/>
    <w:rsid w:val="002A569C"/>
    <w:rsid w:val="002D5B9A"/>
    <w:rsid w:val="002F5652"/>
    <w:rsid w:val="002F7CA6"/>
    <w:rsid w:val="0030281C"/>
    <w:rsid w:val="00304264"/>
    <w:rsid w:val="0030463C"/>
    <w:rsid w:val="00311E09"/>
    <w:rsid w:val="003438BC"/>
    <w:rsid w:val="003602B3"/>
    <w:rsid w:val="00371183"/>
    <w:rsid w:val="003847DE"/>
    <w:rsid w:val="003A0138"/>
    <w:rsid w:val="003A5D55"/>
    <w:rsid w:val="003B7E49"/>
    <w:rsid w:val="003D2180"/>
    <w:rsid w:val="003D483D"/>
    <w:rsid w:val="003F6489"/>
    <w:rsid w:val="00404BD5"/>
    <w:rsid w:val="0044213E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E0E31"/>
    <w:rsid w:val="004F6236"/>
    <w:rsid w:val="004F7D6D"/>
    <w:rsid w:val="00502007"/>
    <w:rsid w:val="0051346B"/>
    <w:rsid w:val="00523BF9"/>
    <w:rsid w:val="00537049"/>
    <w:rsid w:val="0053713B"/>
    <w:rsid w:val="00570EAB"/>
    <w:rsid w:val="005811AA"/>
    <w:rsid w:val="00586AAE"/>
    <w:rsid w:val="005A03EC"/>
    <w:rsid w:val="005A29BF"/>
    <w:rsid w:val="005B5C77"/>
    <w:rsid w:val="005B72BC"/>
    <w:rsid w:val="005D711E"/>
    <w:rsid w:val="005E470A"/>
    <w:rsid w:val="005F7569"/>
    <w:rsid w:val="0060093E"/>
    <w:rsid w:val="006015F9"/>
    <w:rsid w:val="00621C8D"/>
    <w:rsid w:val="00624D7F"/>
    <w:rsid w:val="0062619E"/>
    <w:rsid w:val="00631612"/>
    <w:rsid w:val="006368DC"/>
    <w:rsid w:val="00642783"/>
    <w:rsid w:val="00643236"/>
    <w:rsid w:val="006436F9"/>
    <w:rsid w:val="00654558"/>
    <w:rsid w:val="00662CD1"/>
    <w:rsid w:val="0066323A"/>
    <w:rsid w:val="00663B7A"/>
    <w:rsid w:val="00694F4A"/>
    <w:rsid w:val="006B5839"/>
    <w:rsid w:val="006B7C5F"/>
    <w:rsid w:val="006C0C43"/>
    <w:rsid w:val="006C2865"/>
    <w:rsid w:val="006C747C"/>
    <w:rsid w:val="006D3616"/>
    <w:rsid w:val="0071308D"/>
    <w:rsid w:val="007169BA"/>
    <w:rsid w:val="00721BF7"/>
    <w:rsid w:val="00725845"/>
    <w:rsid w:val="00732BF2"/>
    <w:rsid w:val="00732DC2"/>
    <w:rsid w:val="00756559"/>
    <w:rsid w:val="0076491E"/>
    <w:rsid w:val="007803F8"/>
    <w:rsid w:val="00781F44"/>
    <w:rsid w:val="00786F86"/>
    <w:rsid w:val="007A7D92"/>
    <w:rsid w:val="007C69B2"/>
    <w:rsid w:val="007E05AC"/>
    <w:rsid w:val="007E3563"/>
    <w:rsid w:val="007F3CFE"/>
    <w:rsid w:val="007F71D6"/>
    <w:rsid w:val="008240C2"/>
    <w:rsid w:val="00826A2D"/>
    <w:rsid w:val="0083070B"/>
    <w:rsid w:val="00843CEA"/>
    <w:rsid w:val="0085762A"/>
    <w:rsid w:val="008A55BB"/>
    <w:rsid w:val="008C34EB"/>
    <w:rsid w:val="008D5C04"/>
    <w:rsid w:val="008F1241"/>
    <w:rsid w:val="00940335"/>
    <w:rsid w:val="00961F8D"/>
    <w:rsid w:val="0098523F"/>
    <w:rsid w:val="00996FD6"/>
    <w:rsid w:val="009A5CC0"/>
    <w:rsid w:val="009B47B8"/>
    <w:rsid w:val="009B6D9E"/>
    <w:rsid w:val="009D20FD"/>
    <w:rsid w:val="009D3D93"/>
    <w:rsid w:val="009E0871"/>
    <w:rsid w:val="00A022D3"/>
    <w:rsid w:val="00A02F39"/>
    <w:rsid w:val="00A22842"/>
    <w:rsid w:val="00A256F0"/>
    <w:rsid w:val="00A36BBB"/>
    <w:rsid w:val="00A80A4C"/>
    <w:rsid w:val="00A81F70"/>
    <w:rsid w:val="00A95480"/>
    <w:rsid w:val="00AB512D"/>
    <w:rsid w:val="00AC5EA5"/>
    <w:rsid w:val="00AE2490"/>
    <w:rsid w:val="00AE5048"/>
    <w:rsid w:val="00AE6830"/>
    <w:rsid w:val="00AF3840"/>
    <w:rsid w:val="00AF7EBA"/>
    <w:rsid w:val="00B12E86"/>
    <w:rsid w:val="00B12F57"/>
    <w:rsid w:val="00B16CA7"/>
    <w:rsid w:val="00B2035E"/>
    <w:rsid w:val="00B411B2"/>
    <w:rsid w:val="00B42096"/>
    <w:rsid w:val="00B430D6"/>
    <w:rsid w:val="00B468F0"/>
    <w:rsid w:val="00B5462B"/>
    <w:rsid w:val="00B56D75"/>
    <w:rsid w:val="00B61D00"/>
    <w:rsid w:val="00B63D08"/>
    <w:rsid w:val="00B73997"/>
    <w:rsid w:val="00B804DF"/>
    <w:rsid w:val="00B80EF7"/>
    <w:rsid w:val="00B81F0D"/>
    <w:rsid w:val="00B84682"/>
    <w:rsid w:val="00B94625"/>
    <w:rsid w:val="00B94B6A"/>
    <w:rsid w:val="00BA1502"/>
    <w:rsid w:val="00BB5E85"/>
    <w:rsid w:val="00BB701F"/>
    <w:rsid w:val="00BC2A66"/>
    <w:rsid w:val="00BE67B8"/>
    <w:rsid w:val="00BF0B7D"/>
    <w:rsid w:val="00C02A15"/>
    <w:rsid w:val="00C0727D"/>
    <w:rsid w:val="00C1284A"/>
    <w:rsid w:val="00C14BDE"/>
    <w:rsid w:val="00C22178"/>
    <w:rsid w:val="00C26D6A"/>
    <w:rsid w:val="00C52F5E"/>
    <w:rsid w:val="00C5486B"/>
    <w:rsid w:val="00C632BE"/>
    <w:rsid w:val="00C71B5E"/>
    <w:rsid w:val="00C75D97"/>
    <w:rsid w:val="00C8047C"/>
    <w:rsid w:val="00C82A06"/>
    <w:rsid w:val="00C87A1C"/>
    <w:rsid w:val="00CA3EBF"/>
    <w:rsid w:val="00CB71D3"/>
    <w:rsid w:val="00CB7537"/>
    <w:rsid w:val="00CC00F7"/>
    <w:rsid w:val="00CC3637"/>
    <w:rsid w:val="00CD1064"/>
    <w:rsid w:val="00CD637F"/>
    <w:rsid w:val="00CD722E"/>
    <w:rsid w:val="00CF4C89"/>
    <w:rsid w:val="00D0379C"/>
    <w:rsid w:val="00D064CA"/>
    <w:rsid w:val="00D26726"/>
    <w:rsid w:val="00D41EAA"/>
    <w:rsid w:val="00D4324F"/>
    <w:rsid w:val="00D4611B"/>
    <w:rsid w:val="00D8618F"/>
    <w:rsid w:val="00D91577"/>
    <w:rsid w:val="00D93B53"/>
    <w:rsid w:val="00DB34FF"/>
    <w:rsid w:val="00DC6004"/>
    <w:rsid w:val="00DD43F5"/>
    <w:rsid w:val="00DE54BE"/>
    <w:rsid w:val="00DF30F6"/>
    <w:rsid w:val="00E06A89"/>
    <w:rsid w:val="00E14EC6"/>
    <w:rsid w:val="00E1554D"/>
    <w:rsid w:val="00E16384"/>
    <w:rsid w:val="00E30D41"/>
    <w:rsid w:val="00E43F6D"/>
    <w:rsid w:val="00E473BC"/>
    <w:rsid w:val="00E817EB"/>
    <w:rsid w:val="00EE1B8B"/>
    <w:rsid w:val="00EE38D0"/>
    <w:rsid w:val="00EE44FF"/>
    <w:rsid w:val="00F151C4"/>
    <w:rsid w:val="00F24279"/>
    <w:rsid w:val="00F30639"/>
    <w:rsid w:val="00F31172"/>
    <w:rsid w:val="00F33F02"/>
    <w:rsid w:val="00F40EDE"/>
    <w:rsid w:val="00F422C4"/>
    <w:rsid w:val="00F65BC7"/>
    <w:rsid w:val="00F975E5"/>
    <w:rsid w:val="00F97865"/>
    <w:rsid w:val="00FA062D"/>
    <w:rsid w:val="00FC1FE9"/>
    <w:rsid w:val="00FE08C5"/>
    <w:rsid w:val="00FE0AE5"/>
    <w:rsid w:val="00FE6128"/>
    <w:rsid w:val="00FF0DBA"/>
    <w:rsid w:val="00FF248F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Odrážky,Nad,Odstavec cíl se seznamem,Odstavec se seznamem5,Odstavec se seznamem1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Odrážky Char,Nad Char,Odstavec cíl se seznamem Char,Odstavec se seznamem5 Char,Odstavec se seznamem1 Char,_Odstavec se seznamem Char,Seznam - odrážky Char,Conclusion de partie Char,Fiche List Paragraph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93B53"/>
    <w:pPr>
      <w:spacing w:line="240" w:lineRule="auto"/>
    </w:pPr>
    <w:rPr>
      <w:rFonts w:ascii="Times New Roman" w:eastAsiaTheme="minorHAnsi" w:hAnsi="Times New Roman" w:cs="Times New Roman"/>
      <w:color w:val="auto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93B53"/>
    <w:rPr>
      <w:rFonts w:ascii="Times New Roman" w:eastAsiaTheme="minorHAnsi" w:hAnsi="Times New Roman" w:cs="Times New Roman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CA300-9499-42BB-B719-EFB648118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3</Pages>
  <Words>822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83</cp:revision>
  <cp:lastPrinted>2024-09-04T14:41:00Z</cp:lastPrinted>
  <dcterms:created xsi:type="dcterms:W3CDTF">2019-11-06T08:27:00Z</dcterms:created>
  <dcterms:modified xsi:type="dcterms:W3CDTF">2024-09-06T04:54:00Z</dcterms:modified>
</cp:coreProperties>
</file>