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62201" w14:textId="77777777" w:rsidR="008A511C" w:rsidRDefault="008A511C" w:rsidP="00452578">
      <w:pPr>
        <w:spacing w:after="0" w:line="276" w:lineRule="auto"/>
        <w:jc w:val="center"/>
        <w:rPr>
          <w:rFonts w:ascii="Calibri" w:hAnsi="Calibri" w:cs="Calibri"/>
          <w:b/>
          <w:sz w:val="48"/>
          <w:szCs w:val="48"/>
        </w:rPr>
      </w:pPr>
      <w:bookmarkStart w:id="0" w:name="_Toc515874831"/>
    </w:p>
    <w:p w14:paraId="4C2AE557" w14:textId="77777777" w:rsidR="008A511C" w:rsidRDefault="008A511C" w:rsidP="00452578">
      <w:pPr>
        <w:spacing w:after="0" w:line="276" w:lineRule="auto"/>
        <w:jc w:val="center"/>
        <w:rPr>
          <w:rFonts w:ascii="Calibri" w:hAnsi="Calibri" w:cs="Calibri"/>
          <w:b/>
          <w:sz w:val="48"/>
          <w:szCs w:val="48"/>
        </w:rPr>
      </w:pPr>
    </w:p>
    <w:p w14:paraId="4C2DAABC" w14:textId="77777777" w:rsidR="008A511C" w:rsidRDefault="008A511C" w:rsidP="00452578">
      <w:pPr>
        <w:spacing w:after="0" w:line="276" w:lineRule="auto"/>
        <w:jc w:val="center"/>
        <w:rPr>
          <w:rFonts w:ascii="Calibri" w:hAnsi="Calibri" w:cs="Calibri"/>
          <w:b/>
          <w:sz w:val="48"/>
          <w:szCs w:val="48"/>
        </w:rPr>
      </w:pPr>
    </w:p>
    <w:p w14:paraId="4826B499" w14:textId="77777777" w:rsidR="008A511C" w:rsidRPr="0017795C" w:rsidRDefault="008A511C" w:rsidP="00452578">
      <w:pPr>
        <w:spacing w:after="0" w:line="276" w:lineRule="auto"/>
        <w:jc w:val="center"/>
        <w:rPr>
          <w:rFonts w:cs="Arial"/>
          <w:b/>
          <w:sz w:val="48"/>
          <w:szCs w:val="48"/>
        </w:rPr>
      </w:pPr>
    </w:p>
    <w:p w14:paraId="7CC0BF8A" w14:textId="77777777" w:rsidR="008A511C" w:rsidRPr="0017795C" w:rsidRDefault="008A511C" w:rsidP="00452578">
      <w:pPr>
        <w:spacing w:after="0" w:line="276" w:lineRule="auto"/>
        <w:jc w:val="center"/>
        <w:rPr>
          <w:rFonts w:cs="Arial"/>
          <w:b/>
          <w:sz w:val="48"/>
          <w:szCs w:val="48"/>
        </w:rPr>
      </w:pPr>
    </w:p>
    <w:p w14:paraId="5034C018" w14:textId="77777777" w:rsidR="008A511C" w:rsidRPr="0017795C" w:rsidRDefault="00B65C98" w:rsidP="00452578">
      <w:pPr>
        <w:spacing w:after="0" w:line="276" w:lineRule="auto"/>
        <w:jc w:val="center"/>
        <w:rPr>
          <w:rFonts w:cs="Arial"/>
          <w:b/>
          <w:sz w:val="48"/>
          <w:szCs w:val="48"/>
        </w:rPr>
      </w:pPr>
      <w:r w:rsidRPr="0017795C">
        <w:rPr>
          <w:rFonts w:cs="Arial"/>
          <w:b/>
          <w:sz w:val="48"/>
          <w:szCs w:val="48"/>
        </w:rPr>
        <w:t xml:space="preserve">Přílohy </w:t>
      </w:r>
    </w:p>
    <w:p w14:paraId="0E9024D2" w14:textId="59666BCD" w:rsidR="008A511C" w:rsidRPr="0017795C" w:rsidRDefault="00B65C98" w:rsidP="00452578">
      <w:pPr>
        <w:spacing w:after="0" w:line="276" w:lineRule="auto"/>
        <w:jc w:val="center"/>
        <w:rPr>
          <w:rFonts w:cs="Arial"/>
          <w:b/>
          <w:sz w:val="48"/>
          <w:szCs w:val="48"/>
        </w:rPr>
      </w:pPr>
      <w:r w:rsidRPr="0017795C">
        <w:rPr>
          <w:rFonts w:cs="Arial"/>
          <w:b/>
          <w:sz w:val="48"/>
          <w:szCs w:val="48"/>
        </w:rPr>
        <w:t xml:space="preserve">Souhrnného akčního plánu Strategie restrukturalizace Ústeckého, Moravskoslezského a Karlovarského kraje </w:t>
      </w:r>
      <w:r w:rsidR="002E4092" w:rsidRPr="0017795C">
        <w:rPr>
          <w:rFonts w:cs="Arial"/>
          <w:b/>
          <w:sz w:val="48"/>
          <w:szCs w:val="48"/>
        </w:rPr>
        <w:t>20</w:t>
      </w:r>
      <w:r w:rsidR="002E4092">
        <w:rPr>
          <w:rFonts w:cs="Arial"/>
          <w:b/>
          <w:sz w:val="48"/>
          <w:szCs w:val="48"/>
        </w:rPr>
        <w:t>25–2026</w:t>
      </w:r>
    </w:p>
    <w:p w14:paraId="5F56A625" w14:textId="77777777" w:rsidR="008A511C" w:rsidRPr="0017795C" w:rsidRDefault="008A511C">
      <w:pPr>
        <w:rPr>
          <w:rFonts w:cs="Arial"/>
          <w:b/>
          <w:sz w:val="48"/>
          <w:szCs w:val="48"/>
        </w:rPr>
      </w:pPr>
      <w:r w:rsidRPr="0017795C">
        <w:rPr>
          <w:rFonts w:cs="Arial"/>
          <w:b/>
          <w:sz w:val="48"/>
          <w:szCs w:val="48"/>
        </w:rPr>
        <w:br w:type="page"/>
      </w:r>
    </w:p>
    <w:p w14:paraId="6865DCD3" w14:textId="77777777" w:rsidR="00820454" w:rsidRPr="0017795C" w:rsidRDefault="00820454" w:rsidP="00820454">
      <w:pPr>
        <w:rPr>
          <w:rFonts w:cs="Arial"/>
        </w:rPr>
      </w:pPr>
    </w:p>
    <w:sdt>
      <w:sdtPr>
        <w:rPr>
          <w:rFonts w:ascii="Arial" w:eastAsiaTheme="minorHAnsi" w:hAnsi="Arial" w:cs="Arial"/>
          <w:color w:val="auto"/>
          <w:sz w:val="22"/>
          <w:szCs w:val="22"/>
          <w:lang w:eastAsia="en-US"/>
        </w:rPr>
        <w:id w:val="-719135638"/>
        <w:docPartObj>
          <w:docPartGallery w:val="Table of Contents"/>
          <w:docPartUnique/>
        </w:docPartObj>
      </w:sdtPr>
      <w:sdtEndPr>
        <w:rPr>
          <w:b/>
          <w:bCs/>
          <w:sz w:val="20"/>
        </w:rPr>
      </w:sdtEndPr>
      <w:sdtContent>
        <w:p w14:paraId="26D580F7" w14:textId="31FC48CF" w:rsidR="00820454" w:rsidRPr="002E4092" w:rsidRDefault="00820454" w:rsidP="002E4092">
          <w:pPr>
            <w:pStyle w:val="Nadpisobsahu"/>
            <w:numPr>
              <w:ilvl w:val="0"/>
              <w:numId w:val="0"/>
            </w:numPr>
            <w:rPr>
              <w:rFonts w:ascii="Arial" w:hAnsi="Arial" w:cs="Arial"/>
            </w:rPr>
          </w:pPr>
          <w:r w:rsidRPr="002E4092">
            <w:rPr>
              <w:rFonts w:ascii="Arial" w:hAnsi="Arial" w:cs="Arial"/>
            </w:rPr>
            <w:t>Obsah</w:t>
          </w:r>
        </w:p>
        <w:p w14:paraId="59CEAB68" w14:textId="74752EC7" w:rsidR="003E6237" w:rsidRDefault="002A78AA">
          <w:pPr>
            <w:pStyle w:val="Obsah1"/>
            <w:rPr>
              <w:rFonts w:eastAsiaTheme="minorEastAsia"/>
              <w:b w:val="0"/>
              <w:noProof/>
              <w:lang w:eastAsia="cs-CZ"/>
            </w:rPr>
          </w:pPr>
          <w:r w:rsidRPr="00DF6076">
            <w:rPr>
              <w:rFonts w:ascii="Arial" w:hAnsi="Arial" w:cs="Arial"/>
              <w:bCs/>
            </w:rPr>
            <w:fldChar w:fldCharType="begin"/>
          </w:r>
          <w:r w:rsidRPr="00DF6076">
            <w:rPr>
              <w:rFonts w:ascii="Arial" w:hAnsi="Arial" w:cs="Arial"/>
              <w:bCs/>
            </w:rPr>
            <w:instrText xml:space="preserve"> TOC \o "1-3" \h \z \u </w:instrText>
          </w:r>
          <w:r w:rsidRPr="00DF6076">
            <w:rPr>
              <w:rFonts w:ascii="Arial" w:hAnsi="Arial" w:cs="Arial"/>
              <w:bCs/>
            </w:rPr>
            <w:fldChar w:fldCharType="separate"/>
          </w:r>
          <w:hyperlink w:anchor="_Toc175743025" w:history="1">
            <w:r w:rsidR="003E6237" w:rsidRPr="0090480F">
              <w:rPr>
                <w:rStyle w:val="Hypertextovodkaz"/>
                <w:rFonts w:cs="Arial"/>
                <w:noProof/>
              </w:rPr>
              <w:t>Seznam zkratek</w:t>
            </w:r>
            <w:r w:rsidR="003E6237">
              <w:rPr>
                <w:noProof/>
                <w:webHidden/>
              </w:rPr>
              <w:tab/>
            </w:r>
            <w:r w:rsidR="003E6237">
              <w:rPr>
                <w:noProof/>
                <w:webHidden/>
              </w:rPr>
              <w:fldChar w:fldCharType="begin"/>
            </w:r>
            <w:r w:rsidR="003E6237">
              <w:rPr>
                <w:noProof/>
                <w:webHidden/>
              </w:rPr>
              <w:instrText xml:space="preserve"> PAGEREF _Toc175743025 \h </w:instrText>
            </w:r>
            <w:r w:rsidR="003E6237">
              <w:rPr>
                <w:noProof/>
                <w:webHidden/>
              </w:rPr>
            </w:r>
            <w:r w:rsidR="003E6237">
              <w:rPr>
                <w:noProof/>
                <w:webHidden/>
              </w:rPr>
              <w:fldChar w:fldCharType="separate"/>
            </w:r>
            <w:r w:rsidR="003E6237">
              <w:rPr>
                <w:noProof/>
                <w:webHidden/>
              </w:rPr>
              <w:t>4</w:t>
            </w:r>
            <w:r w:rsidR="003E6237">
              <w:rPr>
                <w:noProof/>
                <w:webHidden/>
              </w:rPr>
              <w:fldChar w:fldCharType="end"/>
            </w:r>
          </w:hyperlink>
        </w:p>
        <w:p w14:paraId="6892A373" w14:textId="32BC0AFF" w:rsidR="003E6237" w:rsidRDefault="00AC017F">
          <w:pPr>
            <w:pStyle w:val="Obsah1"/>
            <w:rPr>
              <w:rFonts w:eastAsiaTheme="minorEastAsia"/>
              <w:b w:val="0"/>
              <w:noProof/>
              <w:lang w:eastAsia="cs-CZ"/>
            </w:rPr>
          </w:pPr>
          <w:hyperlink w:anchor="_Toc175743026" w:history="1">
            <w:r w:rsidR="003E6237" w:rsidRPr="0090480F">
              <w:rPr>
                <w:rStyle w:val="Hypertextovodkaz"/>
                <w:rFonts w:eastAsia="Calibri" w:cs="Arial"/>
                <w:noProof/>
              </w:rPr>
              <w:t>Příloha A: Implementační zásady</w:t>
            </w:r>
            <w:r w:rsidR="003E6237">
              <w:rPr>
                <w:noProof/>
                <w:webHidden/>
              </w:rPr>
              <w:tab/>
            </w:r>
            <w:r w:rsidR="003E6237">
              <w:rPr>
                <w:noProof/>
                <w:webHidden/>
              </w:rPr>
              <w:fldChar w:fldCharType="begin"/>
            </w:r>
            <w:r w:rsidR="003E6237">
              <w:rPr>
                <w:noProof/>
                <w:webHidden/>
              </w:rPr>
              <w:instrText xml:space="preserve"> PAGEREF _Toc175743026 \h </w:instrText>
            </w:r>
            <w:r w:rsidR="003E6237">
              <w:rPr>
                <w:noProof/>
                <w:webHidden/>
              </w:rPr>
            </w:r>
            <w:r w:rsidR="003E6237">
              <w:rPr>
                <w:noProof/>
                <w:webHidden/>
              </w:rPr>
              <w:fldChar w:fldCharType="separate"/>
            </w:r>
            <w:r w:rsidR="003E6237">
              <w:rPr>
                <w:noProof/>
                <w:webHidden/>
              </w:rPr>
              <w:t>6</w:t>
            </w:r>
            <w:r w:rsidR="003E6237">
              <w:rPr>
                <w:noProof/>
                <w:webHidden/>
              </w:rPr>
              <w:fldChar w:fldCharType="end"/>
            </w:r>
          </w:hyperlink>
        </w:p>
        <w:p w14:paraId="5C95577B" w14:textId="6EC0A849" w:rsidR="003E6237" w:rsidRDefault="00AC017F">
          <w:pPr>
            <w:pStyle w:val="Obsah1"/>
            <w:rPr>
              <w:rFonts w:eastAsiaTheme="minorEastAsia"/>
              <w:b w:val="0"/>
              <w:noProof/>
              <w:lang w:eastAsia="cs-CZ"/>
            </w:rPr>
          </w:pPr>
          <w:hyperlink w:anchor="_Toc175743027" w:history="1">
            <w:r w:rsidR="003E6237" w:rsidRPr="0090480F">
              <w:rPr>
                <w:rStyle w:val="Hypertextovodkaz"/>
                <w:rFonts w:cs="Arial"/>
                <w:noProof/>
              </w:rPr>
              <w:t>1</w:t>
            </w:r>
            <w:r w:rsidR="003E6237">
              <w:rPr>
                <w:rFonts w:eastAsiaTheme="minorEastAsia"/>
                <w:b w:val="0"/>
                <w:noProof/>
                <w:lang w:eastAsia="cs-CZ"/>
              </w:rPr>
              <w:tab/>
            </w:r>
            <w:r w:rsidR="003E6237" w:rsidRPr="0090480F">
              <w:rPr>
                <w:rStyle w:val="Hypertextovodkaz"/>
                <w:rFonts w:cs="Arial"/>
                <w:noProof/>
              </w:rPr>
              <w:t>Úvod</w:t>
            </w:r>
            <w:r w:rsidR="003E6237">
              <w:rPr>
                <w:noProof/>
                <w:webHidden/>
              </w:rPr>
              <w:tab/>
            </w:r>
            <w:r w:rsidR="003E6237">
              <w:rPr>
                <w:noProof/>
                <w:webHidden/>
              </w:rPr>
              <w:fldChar w:fldCharType="begin"/>
            </w:r>
            <w:r w:rsidR="003E6237">
              <w:rPr>
                <w:noProof/>
                <w:webHidden/>
              </w:rPr>
              <w:instrText xml:space="preserve"> PAGEREF _Toc175743027 \h </w:instrText>
            </w:r>
            <w:r w:rsidR="003E6237">
              <w:rPr>
                <w:noProof/>
                <w:webHidden/>
              </w:rPr>
            </w:r>
            <w:r w:rsidR="003E6237">
              <w:rPr>
                <w:noProof/>
                <w:webHidden/>
              </w:rPr>
              <w:fldChar w:fldCharType="separate"/>
            </w:r>
            <w:r w:rsidR="003E6237">
              <w:rPr>
                <w:noProof/>
                <w:webHidden/>
              </w:rPr>
              <w:t>6</w:t>
            </w:r>
            <w:r w:rsidR="003E6237">
              <w:rPr>
                <w:noProof/>
                <w:webHidden/>
              </w:rPr>
              <w:fldChar w:fldCharType="end"/>
            </w:r>
          </w:hyperlink>
        </w:p>
        <w:p w14:paraId="6849E851" w14:textId="0AB933EB" w:rsidR="003E6237" w:rsidRDefault="00AC017F">
          <w:pPr>
            <w:pStyle w:val="Obsah1"/>
            <w:rPr>
              <w:rFonts w:eastAsiaTheme="minorEastAsia"/>
              <w:b w:val="0"/>
              <w:noProof/>
              <w:lang w:eastAsia="cs-CZ"/>
            </w:rPr>
          </w:pPr>
          <w:hyperlink w:anchor="_Toc175743028" w:history="1">
            <w:r w:rsidR="003E6237" w:rsidRPr="0090480F">
              <w:rPr>
                <w:rStyle w:val="Hypertextovodkaz"/>
                <w:rFonts w:cs="Arial"/>
                <w:noProof/>
              </w:rPr>
              <w:t>2</w:t>
            </w:r>
            <w:r w:rsidR="003E6237">
              <w:rPr>
                <w:rFonts w:eastAsiaTheme="minorEastAsia"/>
                <w:b w:val="0"/>
                <w:noProof/>
                <w:lang w:eastAsia="cs-CZ"/>
              </w:rPr>
              <w:tab/>
            </w:r>
            <w:r w:rsidR="003E6237" w:rsidRPr="0090480F">
              <w:rPr>
                <w:rStyle w:val="Hypertextovodkaz"/>
                <w:rFonts w:cs="Arial"/>
                <w:noProof/>
              </w:rPr>
              <w:t>Organizační struktura</w:t>
            </w:r>
            <w:r w:rsidR="003E6237">
              <w:rPr>
                <w:noProof/>
                <w:webHidden/>
              </w:rPr>
              <w:tab/>
            </w:r>
            <w:r w:rsidR="003E6237">
              <w:rPr>
                <w:noProof/>
                <w:webHidden/>
              </w:rPr>
              <w:fldChar w:fldCharType="begin"/>
            </w:r>
            <w:r w:rsidR="003E6237">
              <w:rPr>
                <w:noProof/>
                <w:webHidden/>
              </w:rPr>
              <w:instrText xml:space="preserve"> PAGEREF _Toc175743028 \h </w:instrText>
            </w:r>
            <w:r w:rsidR="003E6237">
              <w:rPr>
                <w:noProof/>
                <w:webHidden/>
              </w:rPr>
            </w:r>
            <w:r w:rsidR="003E6237">
              <w:rPr>
                <w:noProof/>
                <w:webHidden/>
              </w:rPr>
              <w:fldChar w:fldCharType="separate"/>
            </w:r>
            <w:r w:rsidR="003E6237">
              <w:rPr>
                <w:noProof/>
                <w:webHidden/>
              </w:rPr>
              <w:t>6</w:t>
            </w:r>
            <w:r w:rsidR="003E6237">
              <w:rPr>
                <w:noProof/>
                <w:webHidden/>
              </w:rPr>
              <w:fldChar w:fldCharType="end"/>
            </w:r>
          </w:hyperlink>
        </w:p>
        <w:p w14:paraId="76625512" w14:textId="50F24347" w:rsidR="003E6237" w:rsidRDefault="00AC017F">
          <w:pPr>
            <w:pStyle w:val="Obsah2"/>
            <w:tabs>
              <w:tab w:val="left" w:pos="880"/>
              <w:tab w:val="right" w:leader="dot" w:pos="9062"/>
            </w:tabs>
            <w:rPr>
              <w:rFonts w:eastAsiaTheme="minorEastAsia"/>
              <w:noProof/>
              <w:lang w:eastAsia="cs-CZ"/>
            </w:rPr>
          </w:pPr>
          <w:hyperlink w:anchor="_Toc175743029" w:history="1">
            <w:r w:rsidR="003E6237" w:rsidRPr="0090480F">
              <w:rPr>
                <w:rStyle w:val="Hypertextovodkaz"/>
                <w:rFonts w:cs="Arial"/>
                <w:noProof/>
              </w:rPr>
              <w:t>2.1</w:t>
            </w:r>
            <w:r w:rsidR="003E6237">
              <w:rPr>
                <w:rFonts w:eastAsiaTheme="minorEastAsia"/>
                <w:noProof/>
                <w:lang w:eastAsia="cs-CZ"/>
              </w:rPr>
              <w:tab/>
            </w:r>
            <w:r w:rsidR="003E6237" w:rsidRPr="0090480F">
              <w:rPr>
                <w:rStyle w:val="Hypertextovodkaz"/>
                <w:rFonts w:cs="Arial"/>
                <w:noProof/>
              </w:rPr>
              <w:t>Výkonný tým</w:t>
            </w:r>
            <w:r w:rsidR="003E6237">
              <w:rPr>
                <w:noProof/>
                <w:webHidden/>
              </w:rPr>
              <w:tab/>
            </w:r>
            <w:r w:rsidR="003E6237">
              <w:rPr>
                <w:noProof/>
                <w:webHidden/>
              </w:rPr>
              <w:fldChar w:fldCharType="begin"/>
            </w:r>
            <w:r w:rsidR="003E6237">
              <w:rPr>
                <w:noProof/>
                <w:webHidden/>
              </w:rPr>
              <w:instrText xml:space="preserve"> PAGEREF _Toc175743029 \h </w:instrText>
            </w:r>
            <w:r w:rsidR="003E6237">
              <w:rPr>
                <w:noProof/>
                <w:webHidden/>
              </w:rPr>
            </w:r>
            <w:r w:rsidR="003E6237">
              <w:rPr>
                <w:noProof/>
                <w:webHidden/>
              </w:rPr>
              <w:fldChar w:fldCharType="separate"/>
            </w:r>
            <w:r w:rsidR="003E6237">
              <w:rPr>
                <w:noProof/>
                <w:webHidden/>
              </w:rPr>
              <w:t>7</w:t>
            </w:r>
            <w:r w:rsidR="003E6237">
              <w:rPr>
                <w:noProof/>
                <w:webHidden/>
              </w:rPr>
              <w:fldChar w:fldCharType="end"/>
            </w:r>
          </w:hyperlink>
        </w:p>
        <w:p w14:paraId="35669817" w14:textId="78A42EC5" w:rsidR="003E6237" w:rsidRDefault="00AC017F">
          <w:pPr>
            <w:pStyle w:val="Obsah2"/>
            <w:tabs>
              <w:tab w:val="left" w:pos="880"/>
              <w:tab w:val="right" w:leader="dot" w:pos="9062"/>
            </w:tabs>
            <w:rPr>
              <w:rFonts w:eastAsiaTheme="minorEastAsia"/>
              <w:noProof/>
              <w:lang w:eastAsia="cs-CZ"/>
            </w:rPr>
          </w:pPr>
          <w:hyperlink w:anchor="_Toc175743030" w:history="1">
            <w:r w:rsidR="003E6237" w:rsidRPr="0090480F">
              <w:rPr>
                <w:rStyle w:val="Hypertextovodkaz"/>
                <w:rFonts w:cs="Arial"/>
                <w:noProof/>
              </w:rPr>
              <w:t>2.2</w:t>
            </w:r>
            <w:r w:rsidR="003E6237">
              <w:rPr>
                <w:rFonts w:eastAsiaTheme="minorEastAsia"/>
                <w:noProof/>
                <w:lang w:eastAsia="cs-CZ"/>
              </w:rPr>
              <w:tab/>
            </w:r>
            <w:r w:rsidR="003E6237" w:rsidRPr="0090480F">
              <w:rPr>
                <w:rStyle w:val="Hypertextovodkaz"/>
                <w:rFonts w:cs="Arial"/>
                <w:noProof/>
              </w:rPr>
              <w:t>Poradní tým</w:t>
            </w:r>
            <w:r w:rsidR="003E6237">
              <w:rPr>
                <w:noProof/>
                <w:webHidden/>
              </w:rPr>
              <w:tab/>
            </w:r>
            <w:r w:rsidR="003E6237">
              <w:rPr>
                <w:noProof/>
                <w:webHidden/>
              </w:rPr>
              <w:fldChar w:fldCharType="begin"/>
            </w:r>
            <w:r w:rsidR="003E6237">
              <w:rPr>
                <w:noProof/>
                <w:webHidden/>
              </w:rPr>
              <w:instrText xml:space="preserve"> PAGEREF _Toc175743030 \h </w:instrText>
            </w:r>
            <w:r w:rsidR="003E6237">
              <w:rPr>
                <w:noProof/>
                <w:webHidden/>
              </w:rPr>
            </w:r>
            <w:r w:rsidR="003E6237">
              <w:rPr>
                <w:noProof/>
                <w:webHidden/>
              </w:rPr>
              <w:fldChar w:fldCharType="separate"/>
            </w:r>
            <w:r w:rsidR="003E6237">
              <w:rPr>
                <w:noProof/>
                <w:webHidden/>
              </w:rPr>
              <w:t>7</w:t>
            </w:r>
            <w:r w:rsidR="003E6237">
              <w:rPr>
                <w:noProof/>
                <w:webHidden/>
              </w:rPr>
              <w:fldChar w:fldCharType="end"/>
            </w:r>
          </w:hyperlink>
        </w:p>
        <w:p w14:paraId="3BE56A45" w14:textId="4B26BD32" w:rsidR="003E6237" w:rsidRDefault="00AC017F">
          <w:pPr>
            <w:pStyle w:val="Obsah2"/>
            <w:tabs>
              <w:tab w:val="left" w:pos="880"/>
              <w:tab w:val="right" w:leader="dot" w:pos="9062"/>
            </w:tabs>
            <w:rPr>
              <w:rFonts w:eastAsiaTheme="minorEastAsia"/>
              <w:noProof/>
              <w:lang w:eastAsia="cs-CZ"/>
            </w:rPr>
          </w:pPr>
          <w:hyperlink w:anchor="_Toc175743031" w:history="1">
            <w:r w:rsidR="003E6237" w:rsidRPr="0090480F">
              <w:rPr>
                <w:rStyle w:val="Hypertextovodkaz"/>
                <w:rFonts w:cs="Arial"/>
                <w:noProof/>
              </w:rPr>
              <w:t>2.3</w:t>
            </w:r>
            <w:r w:rsidR="003E6237">
              <w:rPr>
                <w:rFonts w:eastAsiaTheme="minorEastAsia"/>
                <w:noProof/>
                <w:lang w:eastAsia="cs-CZ"/>
              </w:rPr>
              <w:tab/>
            </w:r>
            <w:r w:rsidR="003E6237" w:rsidRPr="0090480F">
              <w:rPr>
                <w:rStyle w:val="Hypertextovodkaz"/>
                <w:rFonts w:cs="Arial"/>
                <w:noProof/>
              </w:rPr>
              <w:t>Regionální stálé konference</w:t>
            </w:r>
            <w:r w:rsidR="003E6237">
              <w:rPr>
                <w:noProof/>
                <w:webHidden/>
              </w:rPr>
              <w:tab/>
            </w:r>
            <w:r w:rsidR="003E6237">
              <w:rPr>
                <w:noProof/>
                <w:webHidden/>
              </w:rPr>
              <w:fldChar w:fldCharType="begin"/>
            </w:r>
            <w:r w:rsidR="003E6237">
              <w:rPr>
                <w:noProof/>
                <w:webHidden/>
              </w:rPr>
              <w:instrText xml:space="preserve"> PAGEREF _Toc175743031 \h </w:instrText>
            </w:r>
            <w:r w:rsidR="003E6237">
              <w:rPr>
                <w:noProof/>
                <w:webHidden/>
              </w:rPr>
            </w:r>
            <w:r w:rsidR="003E6237">
              <w:rPr>
                <w:noProof/>
                <w:webHidden/>
              </w:rPr>
              <w:fldChar w:fldCharType="separate"/>
            </w:r>
            <w:r w:rsidR="003E6237">
              <w:rPr>
                <w:noProof/>
                <w:webHidden/>
              </w:rPr>
              <w:t>7</w:t>
            </w:r>
            <w:r w:rsidR="003E6237">
              <w:rPr>
                <w:noProof/>
                <w:webHidden/>
              </w:rPr>
              <w:fldChar w:fldCharType="end"/>
            </w:r>
          </w:hyperlink>
        </w:p>
        <w:p w14:paraId="6B2AB095" w14:textId="117409A3" w:rsidR="003E6237" w:rsidRDefault="00AC017F">
          <w:pPr>
            <w:pStyle w:val="Obsah1"/>
            <w:rPr>
              <w:rFonts w:eastAsiaTheme="minorEastAsia"/>
              <w:b w:val="0"/>
              <w:noProof/>
              <w:lang w:eastAsia="cs-CZ"/>
            </w:rPr>
          </w:pPr>
          <w:hyperlink w:anchor="_Toc175743032" w:history="1">
            <w:r w:rsidR="003E6237" w:rsidRPr="0090480F">
              <w:rPr>
                <w:rStyle w:val="Hypertextovodkaz"/>
                <w:rFonts w:cs="Arial"/>
                <w:noProof/>
              </w:rPr>
              <w:t>3</w:t>
            </w:r>
            <w:r w:rsidR="003E6237">
              <w:rPr>
                <w:rFonts w:eastAsiaTheme="minorEastAsia"/>
                <w:b w:val="0"/>
                <w:noProof/>
                <w:lang w:eastAsia="cs-CZ"/>
              </w:rPr>
              <w:tab/>
            </w:r>
            <w:r w:rsidR="003E6237" w:rsidRPr="0090480F">
              <w:rPr>
                <w:rStyle w:val="Hypertextovodkaz"/>
                <w:rFonts w:cs="Arial"/>
                <w:noProof/>
              </w:rPr>
              <w:t>Příprava a projednávání akčního plánu</w:t>
            </w:r>
            <w:r w:rsidR="003E6237">
              <w:rPr>
                <w:noProof/>
                <w:webHidden/>
              </w:rPr>
              <w:tab/>
            </w:r>
            <w:r w:rsidR="003E6237">
              <w:rPr>
                <w:noProof/>
                <w:webHidden/>
              </w:rPr>
              <w:fldChar w:fldCharType="begin"/>
            </w:r>
            <w:r w:rsidR="003E6237">
              <w:rPr>
                <w:noProof/>
                <w:webHidden/>
              </w:rPr>
              <w:instrText xml:space="preserve"> PAGEREF _Toc175743032 \h </w:instrText>
            </w:r>
            <w:r w:rsidR="003E6237">
              <w:rPr>
                <w:noProof/>
                <w:webHidden/>
              </w:rPr>
            </w:r>
            <w:r w:rsidR="003E6237">
              <w:rPr>
                <w:noProof/>
                <w:webHidden/>
              </w:rPr>
              <w:fldChar w:fldCharType="separate"/>
            </w:r>
            <w:r w:rsidR="003E6237">
              <w:rPr>
                <w:noProof/>
                <w:webHidden/>
              </w:rPr>
              <w:t>8</w:t>
            </w:r>
            <w:r w:rsidR="003E6237">
              <w:rPr>
                <w:noProof/>
                <w:webHidden/>
              </w:rPr>
              <w:fldChar w:fldCharType="end"/>
            </w:r>
          </w:hyperlink>
        </w:p>
        <w:p w14:paraId="5FC523F6" w14:textId="6246FC9F" w:rsidR="003E6237" w:rsidRDefault="00AC017F">
          <w:pPr>
            <w:pStyle w:val="Obsah3"/>
            <w:tabs>
              <w:tab w:val="left" w:pos="1320"/>
              <w:tab w:val="right" w:leader="dot" w:pos="9062"/>
            </w:tabs>
            <w:rPr>
              <w:rFonts w:eastAsiaTheme="minorEastAsia"/>
              <w:noProof/>
              <w:lang w:eastAsia="cs-CZ"/>
            </w:rPr>
          </w:pPr>
          <w:hyperlink w:anchor="_Toc175743033" w:history="1">
            <w:r w:rsidR="003E6237" w:rsidRPr="0090480F">
              <w:rPr>
                <w:rStyle w:val="Hypertextovodkaz"/>
                <w:rFonts w:cs="Arial"/>
                <w:noProof/>
              </w:rPr>
              <w:t>3.1.1</w:t>
            </w:r>
            <w:r w:rsidR="003E6237">
              <w:rPr>
                <w:rFonts w:eastAsiaTheme="minorEastAsia"/>
                <w:noProof/>
                <w:lang w:eastAsia="cs-CZ"/>
              </w:rPr>
              <w:tab/>
            </w:r>
            <w:r w:rsidR="003E6237" w:rsidRPr="0090480F">
              <w:rPr>
                <w:rStyle w:val="Hypertextovodkaz"/>
                <w:rFonts w:cs="Arial"/>
                <w:noProof/>
              </w:rPr>
              <w:t>Regionální úroveň</w:t>
            </w:r>
            <w:r w:rsidR="003E6237">
              <w:rPr>
                <w:noProof/>
                <w:webHidden/>
              </w:rPr>
              <w:tab/>
            </w:r>
            <w:r w:rsidR="003E6237">
              <w:rPr>
                <w:noProof/>
                <w:webHidden/>
              </w:rPr>
              <w:fldChar w:fldCharType="begin"/>
            </w:r>
            <w:r w:rsidR="003E6237">
              <w:rPr>
                <w:noProof/>
                <w:webHidden/>
              </w:rPr>
              <w:instrText xml:space="preserve"> PAGEREF _Toc175743033 \h </w:instrText>
            </w:r>
            <w:r w:rsidR="003E6237">
              <w:rPr>
                <w:noProof/>
                <w:webHidden/>
              </w:rPr>
            </w:r>
            <w:r w:rsidR="003E6237">
              <w:rPr>
                <w:noProof/>
                <w:webHidden/>
              </w:rPr>
              <w:fldChar w:fldCharType="separate"/>
            </w:r>
            <w:r w:rsidR="003E6237">
              <w:rPr>
                <w:noProof/>
                <w:webHidden/>
              </w:rPr>
              <w:t>8</w:t>
            </w:r>
            <w:r w:rsidR="003E6237">
              <w:rPr>
                <w:noProof/>
                <w:webHidden/>
              </w:rPr>
              <w:fldChar w:fldCharType="end"/>
            </w:r>
          </w:hyperlink>
        </w:p>
        <w:p w14:paraId="29017A7F" w14:textId="2EA06ADE" w:rsidR="003E6237" w:rsidRDefault="00AC017F">
          <w:pPr>
            <w:pStyle w:val="Obsah3"/>
            <w:tabs>
              <w:tab w:val="left" w:pos="1320"/>
              <w:tab w:val="right" w:leader="dot" w:pos="9062"/>
            </w:tabs>
            <w:rPr>
              <w:rFonts w:eastAsiaTheme="minorEastAsia"/>
              <w:noProof/>
              <w:lang w:eastAsia="cs-CZ"/>
            </w:rPr>
          </w:pPr>
          <w:hyperlink w:anchor="_Toc175743034" w:history="1">
            <w:r w:rsidR="003E6237" w:rsidRPr="0090480F">
              <w:rPr>
                <w:rStyle w:val="Hypertextovodkaz"/>
                <w:rFonts w:cs="Arial"/>
                <w:noProof/>
              </w:rPr>
              <w:t>3.1.2</w:t>
            </w:r>
            <w:r w:rsidR="003E6237">
              <w:rPr>
                <w:rFonts w:eastAsiaTheme="minorEastAsia"/>
                <w:noProof/>
                <w:lang w:eastAsia="cs-CZ"/>
              </w:rPr>
              <w:tab/>
            </w:r>
            <w:r w:rsidR="003E6237" w:rsidRPr="0090480F">
              <w:rPr>
                <w:rStyle w:val="Hypertextovodkaz"/>
                <w:rFonts w:cs="Arial"/>
                <w:noProof/>
              </w:rPr>
              <w:t>Ministerstvo pro místní rozvoj</w:t>
            </w:r>
            <w:r w:rsidR="003E6237">
              <w:rPr>
                <w:noProof/>
                <w:webHidden/>
              </w:rPr>
              <w:tab/>
            </w:r>
            <w:r w:rsidR="003E6237">
              <w:rPr>
                <w:noProof/>
                <w:webHidden/>
              </w:rPr>
              <w:fldChar w:fldCharType="begin"/>
            </w:r>
            <w:r w:rsidR="003E6237">
              <w:rPr>
                <w:noProof/>
                <w:webHidden/>
              </w:rPr>
              <w:instrText xml:space="preserve"> PAGEREF _Toc175743034 \h </w:instrText>
            </w:r>
            <w:r w:rsidR="003E6237">
              <w:rPr>
                <w:noProof/>
                <w:webHidden/>
              </w:rPr>
            </w:r>
            <w:r w:rsidR="003E6237">
              <w:rPr>
                <w:noProof/>
                <w:webHidden/>
              </w:rPr>
              <w:fldChar w:fldCharType="separate"/>
            </w:r>
            <w:r w:rsidR="003E6237">
              <w:rPr>
                <w:noProof/>
                <w:webHidden/>
              </w:rPr>
              <w:t>8</w:t>
            </w:r>
            <w:r w:rsidR="003E6237">
              <w:rPr>
                <w:noProof/>
                <w:webHidden/>
              </w:rPr>
              <w:fldChar w:fldCharType="end"/>
            </w:r>
          </w:hyperlink>
        </w:p>
        <w:p w14:paraId="38C523B8" w14:textId="5D000CF6" w:rsidR="003E6237" w:rsidRDefault="00AC017F">
          <w:pPr>
            <w:pStyle w:val="Obsah3"/>
            <w:tabs>
              <w:tab w:val="left" w:pos="1320"/>
              <w:tab w:val="right" w:leader="dot" w:pos="9062"/>
            </w:tabs>
            <w:rPr>
              <w:rFonts w:eastAsiaTheme="minorEastAsia"/>
              <w:noProof/>
              <w:lang w:eastAsia="cs-CZ"/>
            </w:rPr>
          </w:pPr>
          <w:hyperlink w:anchor="_Toc175743035" w:history="1">
            <w:r w:rsidR="003E6237" w:rsidRPr="0090480F">
              <w:rPr>
                <w:rStyle w:val="Hypertextovodkaz"/>
                <w:rFonts w:cs="Arial"/>
                <w:noProof/>
              </w:rPr>
              <w:t>3.1.3</w:t>
            </w:r>
            <w:r w:rsidR="003E6237">
              <w:rPr>
                <w:rFonts w:eastAsiaTheme="minorEastAsia"/>
                <w:noProof/>
                <w:lang w:eastAsia="cs-CZ"/>
              </w:rPr>
              <w:tab/>
            </w:r>
            <w:r w:rsidR="003E6237" w:rsidRPr="0090480F">
              <w:rPr>
                <w:rStyle w:val="Hypertextovodkaz"/>
                <w:rFonts w:cs="Arial"/>
                <w:noProof/>
              </w:rPr>
              <w:t>Ministerstvo financí</w:t>
            </w:r>
            <w:r w:rsidR="003E6237">
              <w:rPr>
                <w:noProof/>
                <w:webHidden/>
              </w:rPr>
              <w:tab/>
            </w:r>
            <w:r w:rsidR="003E6237">
              <w:rPr>
                <w:noProof/>
                <w:webHidden/>
              </w:rPr>
              <w:fldChar w:fldCharType="begin"/>
            </w:r>
            <w:r w:rsidR="003E6237">
              <w:rPr>
                <w:noProof/>
                <w:webHidden/>
              </w:rPr>
              <w:instrText xml:space="preserve"> PAGEREF _Toc175743035 \h </w:instrText>
            </w:r>
            <w:r w:rsidR="003E6237">
              <w:rPr>
                <w:noProof/>
                <w:webHidden/>
              </w:rPr>
            </w:r>
            <w:r w:rsidR="003E6237">
              <w:rPr>
                <w:noProof/>
                <w:webHidden/>
              </w:rPr>
              <w:fldChar w:fldCharType="separate"/>
            </w:r>
            <w:r w:rsidR="003E6237">
              <w:rPr>
                <w:noProof/>
                <w:webHidden/>
              </w:rPr>
              <w:t>8</w:t>
            </w:r>
            <w:r w:rsidR="003E6237">
              <w:rPr>
                <w:noProof/>
                <w:webHidden/>
              </w:rPr>
              <w:fldChar w:fldCharType="end"/>
            </w:r>
          </w:hyperlink>
        </w:p>
        <w:p w14:paraId="7DF80B8D" w14:textId="4707BF60" w:rsidR="003E6237" w:rsidRDefault="00AC017F">
          <w:pPr>
            <w:pStyle w:val="Obsah3"/>
            <w:tabs>
              <w:tab w:val="left" w:pos="1320"/>
              <w:tab w:val="right" w:leader="dot" w:pos="9062"/>
            </w:tabs>
            <w:rPr>
              <w:rFonts w:eastAsiaTheme="minorEastAsia"/>
              <w:noProof/>
              <w:lang w:eastAsia="cs-CZ"/>
            </w:rPr>
          </w:pPr>
          <w:hyperlink w:anchor="_Toc175743036" w:history="1">
            <w:r w:rsidR="003E6237" w:rsidRPr="0090480F">
              <w:rPr>
                <w:rStyle w:val="Hypertextovodkaz"/>
                <w:rFonts w:cs="Arial"/>
                <w:noProof/>
              </w:rPr>
              <w:t>3.1.4</w:t>
            </w:r>
            <w:r w:rsidR="003E6237">
              <w:rPr>
                <w:rFonts w:eastAsiaTheme="minorEastAsia"/>
                <w:noProof/>
                <w:lang w:eastAsia="cs-CZ"/>
              </w:rPr>
              <w:tab/>
            </w:r>
            <w:r w:rsidR="003E6237" w:rsidRPr="0090480F">
              <w:rPr>
                <w:rStyle w:val="Hypertextovodkaz"/>
                <w:rFonts w:cs="Arial"/>
                <w:noProof/>
              </w:rPr>
              <w:t>Úřad vlády</w:t>
            </w:r>
            <w:r w:rsidR="003E6237">
              <w:rPr>
                <w:noProof/>
                <w:webHidden/>
              </w:rPr>
              <w:tab/>
            </w:r>
            <w:r w:rsidR="003E6237">
              <w:rPr>
                <w:noProof/>
                <w:webHidden/>
              </w:rPr>
              <w:fldChar w:fldCharType="begin"/>
            </w:r>
            <w:r w:rsidR="003E6237">
              <w:rPr>
                <w:noProof/>
                <w:webHidden/>
              </w:rPr>
              <w:instrText xml:space="preserve"> PAGEREF _Toc175743036 \h </w:instrText>
            </w:r>
            <w:r w:rsidR="003E6237">
              <w:rPr>
                <w:noProof/>
                <w:webHidden/>
              </w:rPr>
            </w:r>
            <w:r w:rsidR="003E6237">
              <w:rPr>
                <w:noProof/>
                <w:webHidden/>
              </w:rPr>
              <w:fldChar w:fldCharType="separate"/>
            </w:r>
            <w:r w:rsidR="003E6237">
              <w:rPr>
                <w:noProof/>
                <w:webHidden/>
              </w:rPr>
              <w:t>8</w:t>
            </w:r>
            <w:r w:rsidR="003E6237">
              <w:rPr>
                <w:noProof/>
                <w:webHidden/>
              </w:rPr>
              <w:fldChar w:fldCharType="end"/>
            </w:r>
          </w:hyperlink>
        </w:p>
        <w:p w14:paraId="2FE02BE4" w14:textId="61853AEE" w:rsidR="003E6237" w:rsidRDefault="00AC017F">
          <w:pPr>
            <w:pStyle w:val="Obsah2"/>
            <w:tabs>
              <w:tab w:val="left" w:pos="880"/>
              <w:tab w:val="right" w:leader="dot" w:pos="9062"/>
            </w:tabs>
            <w:rPr>
              <w:rFonts w:eastAsiaTheme="minorEastAsia"/>
              <w:noProof/>
              <w:lang w:eastAsia="cs-CZ"/>
            </w:rPr>
          </w:pPr>
          <w:hyperlink w:anchor="_Toc175743037" w:history="1">
            <w:r w:rsidR="003E6237" w:rsidRPr="0090480F">
              <w:rPr>
                <w:rStyle w:val="Hypertextovodkaz"/>
                <w:rFonts w:cs="Arial"/>
                <w:noProof/>
              </w:rPr>
              <w:t>3.2</w:t>
            </w:r>
            <w:r w:rsidR="003E6237">
              <w:rPr>
                <w:rFonts w:eastAsiaTheme="minorEastAsia"/>
                <w:noProof/>
                <w:lang w:eastAsia="cs-CZ"/>
              </w:rPr>
              <w:tab/>
            </w:r>
            <w:r w:rsidR="003E6237" w:rsidRPr="0090480F">
              <w:rPr>
                <w:rStyle w:val="Hypertextovodkaz"/>
                <w:rFonts w:cs="Arial"/>
                <w:noProof/>
              </w:rPr>
              <w:t>Postup tvorby Souhrnného akčního plánu</w:t>
            </w:r>
            <w:r w:rsidR="003E6237">
              <w:rPr>
                <w:noProof/>
                <w:webHidden/>
              </w:rPr>
              <w:tab/>
            </w:r>
            <w:r w:rsidR="003E6237">
              <w:rPr>
                <w:noProof/>
                <w:webHidden/>
              </w:rPr>
              <w:fldChar w:fldCharType="begin"/>
            </w:r>
            <w:r w:rsidR="003E6237">
              <w:rPr>
                <w:noProof/>
                <w:webHidden/>
              </w:rPr>
              <w:instrText xml:space="preserve"> PAGEREF _Toc175743037 \h </w:instrText>
            </w:r>
            <w:r w:rsidR="003E6237">
              <w:rPr>
                <w:noProof/>
                <w:webHidden/>
              </w:rPr>
            </w:r>
            <w:r w:rsidR="003E6237">
              <w:rPr>
                <w:noProof/>
                <w:webHidden/>
              </w:rPr>
              <w:fldChar w:fldCharType="separate"/>
            </w:r>
            <w:r w:rsidR="003E6237">
              <w:rPr>
                <w:noProof/>
                <w:webHidden/>
              </w:rPr>
              <w:t>9</w:t>
            </w:r>
            <w:r w:rsidR="003E6237">
              <w:rPr>
                <w:noProof/>
                <w:webHidden/>
              </w:rPr>
              <w:fldChar w:fldCharType="end"/>
            </w:r>
          </w:hyperlink>
        </w:p>
        <w:p w14:paraId="4600937C" w14:textId="377B6D7A" w:rsidR="003E6237" w:rsidRDefault="00AC017F">
          <w:pPr>
            <w:pStyle w:val="Obsah3"/>
            <w:tabs>
              <w:tab w:val="left" w:pos="1320"/>
              <w:tab w:val="right" w:leader="dot" w:pos="9062"/>
            </w:tabs>
            <w:rPr>
              <w:rFonts w:eastAsiaTheme="minorEastAsia"/>
              <w:noProof/>
              <w:lang w:eastAsia="cs-CZ"/>
            </w:rPr>
          </w:pPr>
          <w:hyperlink w:anchor="_Toc175743038" w:history="1">
            <w:r w:rsidR="003E6237" w:rsidRPr="0090480F">
              <w:rPr>
                <w:rStyle w:val="Hypertextovodkaz"/>
                <w:rFonts w:cs="Arial"/>
                <w:noProof/>
              </w:rPr>
              <w:t>3.2.1</w:t>
            </w:r>
            <w:r w:rsidR="003E6237">
              <w:rPr>
                <w:rFonts w:eastAsiaTheme="minorEastAsia"/>
                <w:noProof/>
                <w:lang w:eastAsia="cs-CZ"/>
              </w:rPr>
              <w:tab/>
            </w:r>
            <w:r w:rsidR="003E6237" w:rsidRPr="0090480F">
              <w:rPr>
                <w:rStyle w:val="Hypertextovodkaz"/>
                <w:rFonts w:cs="Arial"/>
                <w:noProof/>
              </w:rPr>
              <w:t>Výběr návrhů a rozpracování opatření pro akční plán</w:t>
            </w:r>
            <w:r w:rsidR="003E6237">
              <w:rPr>
                <w:noProof/>
                <w:webHidden/>
              </w:rPr>
              <w:tab/>
            </w:r>
            <w:r w:rsidR="003E6237">
              <w:rPr>
                <w:noProof/>
                <w:webHidden/>
              </w:rPr>
              <w:fldChar w:fldCharType="begin"/>
            </w:r>
            <w:r w:rsidR="003E6237">
              <w:rPr>
                <w:noProof/>
                <w:webHidden/>
              </w:rPr>
              <w:instrText xml:space="preserve"> PAGEREF _Toc175743038 \h </w:instrText>
            </w:r>
            <w:r w:rsidR="003E6237">
              <w:rPr>
                <w:noProof/>
                <w:webHidden/>
              </w:rPr>
            </w:r>
            <w:r w:rsidR="003E6237">
              <w:rPr>
                <w:noProof/>
                <w:webHidden/>
              </w:rPr>
              <w:fldChar w:fldCharType="separate"/>
            </w:r>
            <w:r w:rsidR="003E6237">
              <w:rPr>
                <w:noProof/>
                <w:webHidden/>
              </w:rPr>
              <w:t>9</w:t>
            </w:r>
            <w:r w:rsidR="003E6237">
              <w:rPr>
                <w:noProof/>
                <w:webHidden/>
              </w:rPr>
              <w:fldChar w:fldCharType="end"/>
            </w:r>
          </w:hyperlink>
        </w:p>
        <w:p w14:paraId="1F26C4BB" w14:textId="13D8D9C1" w:rsidR="003E6237" w:rsidRDefault="00AC017F">
          <w:pPr>
            <w:pStyle w:val="Obsah3"/>
            <w:tabs>
              <w:tab w:val="left" w:pos="1320"/>
              <w:tab w:val="right" w:leader="dot" w:pos="9062"/>
            </w:tabs>
            <w:rPr>
              <w:rFonts w:eastAsiaTheme="minorEastAsia"/>
              <w:noProof/>
              <w:lang w:eastAsia="cs-CZ"/>
            </w:rPr>
          </w:pPr>
          <w:hyperlink w:anchor="_Toc175743039" w:history="1">
            <w:r w:rsidR="003E6237" w:rsidRPr="0090480F">
              <w:rPr>
                <w:rStyle w:val="Hypertextovodkaz"/>
                <w:rFonts w:cs="Arial"/>
                <w:noProof/>
              </w:rPr>
              <w:t>3.2.2</w:t>
            </w:r>
            <w:r w:rsidR="003E6237">
              <w:rPr>
                <w:rFonts w:eastAsiaTheme="minorEastAsia"/>
                <w:noProof/>
                <w:lang w:eastAsia="cs-CZ"/>
              </w:rPr>
              <w:tab/>
            </w:r>
            <w:r w:rsidR="003E6237" w:rsidRPr="0090480F">
              <w:rPr>
                <w:rStyle w:val="Hypertextovodkaz"/>
                <w:rFonts w:cs="Arial"/>
                <w:noProof/>
              </w:rPr>
              <w:t>Finalizace Souhrnného akčního plánu</w:t>
            </w:r>
            <w:r w:rsidR="003E6237">
              <w:rPr>
                <w:noProof/>
                <w:webHidden/>
              </w:rPr>
              <w:tab/>
            </w:r>
            <w:r w:rsidR="003E6237">
              <w:rPr>
                <w:noProof/>
                <w:webHidden/>
              </w:rPr>
              <w:fldChar w:fldCharType="begin"/>
            </w:r>
            <w:r w:rsidR="003E6237">
              <w:rPr>
                <w:noProof/>
                <w:webHidden/>
              </w:rPr>
              <w:instrText xml:space="preserve"> PAGEREF _Toc175743039 \h </w:instrText>
            </w:r>
            <w:r w:rsidR="003E6237">
              <w:rPr>
                <w:noProof/>
                <w:webHidden/>
              </w:rPr>
            </w:r>
            <w:r w:rsidR="003E6237">
              <w:rPr>
                <w:noProof/>
                <w:webHidden/>
              </w:rPr>
              <w:fldChar w:fldCharType="separate"/>
            </w:r>
            <w:r w:rsidR="003E6237">
              <w:rPr>
                <w:noProof/>
                <w:webHidden/>
              </w:rPr>
              <w:t>10</w:t>
            </w:r>
            <w:r w:rsidR="003E6237">
              <w:rPr>
                <w:noProof/>
                <w:webHidden/>
              </w:rPr>
              <w:fldChar w:fldCharType="end"/>
            </w:r>
          </w:hyperlink>
        </w:p>
        <w:p w14:paraId="2D55F4C1" w14:textId="5BD1B96E" w:rsidR="003E6237" w:rsidRDefault="00AC017F">
          <w:pPr>
            <w:pStyle w:val="Obsah3"/>
            <w:tabs>
              <w:tab w:val="left" w:pos="1320"/>
              <w:tab w:val="right" w:leader="dot" w:pos="9062"/>
            </w:tabs>
            <w:rPr>
              <w:rFonts w:eastAsiaTheme="minorEastAsia"/>
              <w:noProof/>
              <w:lang w:eastAsia="cs-CZ"/>
            </w:rPr>
          </w:pPr>
          <w:hyperlink w:anchor="_Toc175743040" w:history="1">
            <w:r w:rsidR="003E6237" w:rsidRPr="0090480F">
              <w:rPr>
                <w:rStyle w:val="Hypertextovodkaz"/>
                <w:rFonts w:cs="Arial"/>
                <w:noProof/>
              </w:rPr>
              <w:t>3.2.3</w:t>
            </w:r>
            <w:r w:rsidR="003E6237">
              <w:rPr>
                <w:rFonts w:eastAsiaTheme="minorEastAsia"/>
                <w:noProof/>
                <w:lang w:eastAsia="cs-CZ"/>
              </w:rPr>
              <w:tab/>
            </w:r>
            <w:r w:rsidR="003E6237" w:rsidRPr="0090480F">
              <w:rPr>
                <w:rStyle w:val="Hypertextovodkaz"/>
                <w:rFonts w:cs="Arial"/>
                <w:noProof/>
              </w:rPr>
              <w:t>Předložení Souhrnného akčního plánu vládě</w:t>
            </w:r>
            <w:r w:rsidR="003E6237">
              <w:rPr>
                <w:noProof/>
                <w:webHidden/>
              </w:rPr>
              <w:tab/>
            </w:r>
            <w:r w:rsidR="003E6237">
              <w:rPr>
                <w:noProof/>
                <w:webHidden/>
              </w:rPr>
              <w:fldChar w:fldCharType="begin"/>
            </w:r>
            <w:r w:rsidR="003E6237">
              <w:rPr>
                <w:noProof/>
                <w:webHidden/>
              </w:rPr>
              <w:instrText xml:space="preserve"> PAGEREF _Toc175743040 \h </w:instrText>
            </w:r>
            <w:r w:rsidR="003E6237">
              <w:rPr>
                <w:noProof/>
                <w:webHidden/>
              </w:rPr>
            </w:r>
            <w:r w:rsidR="003E6237">
              <w:rPr>
                <w:noProof/>
                <w:webHidden/>
              </w:rPr>
              <w:fldChar w:fldCharType="separate"/>
            </w:r>
            <w:r w:rsidR="003E6237">
              <w:rPr>
                <w:noProof/>
                <w:webHidden/>
              </w:rPr>
              <w:t>10</w:t>
            </w:r>
            <w:r w:rsidR="003E6237">
              <w:rPr>
                <w:noProof/>
                <w:webHidden/>
              </w:rPr>
              <w:fldChar w:fldCharType="end"/>
            </w:r>
          </w:hyperlink>
        </w:p>
        <w:p w14:paraId="559B5A24" w14:textId="56CBB716" w:rsidR="003E6237" w:rsidRDefault="00AC017F">
          <w:pPr>
            <w:pStyle w:val="Obsah1"/>
            <w:rPr>
              <w:rFonts w:eastAsiaTheme="minorEastAsia"/>
              <w:b w:val="0"/>
              <w:noProof/>
              <w:lang w:eastAsia="cs-CZ"/>
            </w:rPr>
          </w:pPr>
          <w:hyperlink w:anchor="_Toc175743041" w:history="1">
            <w:r w:rsidR="003E6237" w:rsidRPr="0090480F">
              <w:rPr>
                <w:rStyle w:val="Hypertextovodkaz"/>
                <w:rFonts w:cs="Arial"/>
                <w:noProof/>
              </w:rPr>
              <w:t>4</w:t>
            </w:r>
            <w:r w:rsidR="003E6237">
              <w:rPr>
                <w:rFonts w:eastAsiaTheme="minorEastAsia"/>
                <w:b w:val="0"/>
                <w:noProof/>
                <w:lang w:eastAsia="cs-CZ"/>
              </w:rPr>
              <w:tab/>
            </w:r>
            <w:r w:rsidR="003E6237" w:rsidRPr="0090480F">
              <w:rPr>
                <w:rStyle w:val="Hypertextovodkaz"/>
                <w:rFonts w:cs="Arial"/>
                <w:noProof/>
              </w:rPr>
              <w:t>Naplňování Souhrnného akčního plánu</w:t>
            </w:r>
            <w:r w:rsidR="003E6237">
              <w:rPr>
                <w:noProof/>
                <w:webHidden/>
              </w:rPr>
              <w:tab/>
            </w:r>
            <w:r w:rsidR="003E6237">
              <w:rPr>
                <w:noProof/>
                <w:webHidden/>
              </w:rPr>
              <w:fldChar w:fldCharType="begin"/>
            </w:r>
            <w:r w:rsidR="003E6237">
              <w:rPr>
                <w:noProof/>
                <w:webHidden/>
              </w:rPr>
              <w:instrText xml:space="preserve"> PAGEREF _Toc175743041 \h </w:instrText>
            </w:r>
            <w:r w:rsidR="003E6237">
              <w:rPr>
                <w:noProof/>
                <w:webHidden/>
              </w:rPr>
            </w:r>
            <w:r w:rsidR="003E6237">
              <w:rPr>
                <w:noProof/>
                <w:webHidden/>
              </w:rPr>
              <w:fldChar w:fldCharType="separate"/>
            </w:r>
            <w:r w:rsidR="003E6237">
              <w:rPr>
                <w:noProof/>
                <w:webHidden/>
              </w:rPr>
              <w:t>10</w:t>
            </w:r>
            <w:r w:rsidR="003E6237">
              <w:rPr>
                <w:noProof/>
                <w:webHidden/>
              </w:rPr>
              <w:fldChar w:fldCharType="end"/>
            </w:r>
          </w:hyperlink>
        </w:p>
        <w:p w14:paraId="43DE029A" w14:textId="4E4EE6A4" w:rsidR="003E6237" w:rsidRDefault="00AC017F">
          <w:pPr>
            <w:pStyle w:val="Obsah2"/>
            <w:tabs>
              <w:tab w:val="left" w:pos="880"/>
              <w:tab w:val="right" w:leader="dot" w:pos="9062"/>
            </w:tabs>
            <w:rPr>
              <w:rFonts w:eastAsiaTheme="minorEastAsia"/>
              <w:noProof/>
              <w:lang w:eastAsia="cs-CZ"/>
            </w:rPr>
          </w:pPr>
          <w:hyperlink w:anchor="_Toc175743042" w:history="1">
            <w:r w:rsidR="003E6237" w:rsidRPr="0090480F">
              <w:rPr>
                <w:rStyle w:val="Hypertextovodkaz"/>
                <w:rFonts w:cs="Arial"/>
                <w:noProof/>
              </w:rPr>
              <w:t>4.1</w:t>
            </w:r>
            <w:r w:rsidR="003E6237">
              <w:rPr>
                <w:rFonts w:eastAsiaTheme="minorEastAsia"/>
                <w:noProof/>
                <w:lang w:eastAsia="cs-CZ"/>
              </w:rPr>
              <w:tab/>
            </w:r>
            <w:r w:rsidR="003E6237" w:rsidRPr="0090480F">
              <w:rPr>
                <w:rStyle w:val="Hypertextovodkaz"/>
                <w:rFonts w:cs="Arial"/>
                <w:noProof/>
              </w:rPr>
              <w:t>Ministerstva</w:t>
            </w:r>
            <w:r w:rsidR="003E6237">
              <w:rPr>
                <w:noProof/>
                <w:webHidden/>
              </w:rPr>
              <w:tab/>
            </w:r>
            <w:r w:rsidR="003E6237">
              <w:rPr>
                <w:noProof/>
                <w:webHidden/>
              </w:rPr>
              <w:fldChar w:fldCharType="begin"/>
            </w:r>
            <w:r w:rsidR="003E6237">
              <w:rPr>
                <w:noProof/>
                <w:webHidden/>
              </w:rPr>
              <w:instrText xml:space="preserve"> PAGEREF _Toc175743042 \h </w:instrText>
            </w:r>
            <w:r w:rsidR="003E6237">
              <w:rPr>
                <w:noProof/>
                <w:webHidden/>
              </w:rPr>
            </w:r>
            <w:r w:rsidR="003E6237">
              <w:rPr>
                <w:noProof/>
                <w:webHidden/>
              </w:rPr>
              <w:fldChar w:fldCharType="separate"/>
            </w:r>
            <w:r w:rsidR="003E6237">
              <w:rPr>
                <w:noProof/>
                <w:webHidden/>
              </w:rPr>
              <w:t>10</w:t>
            </w:r>
            <w:r w:rsidR="003E6237">
              <w:rPr>
                <w:noProof/>
                <w:webHidden/>
              </w:rPr>
              <w:fldChar w:fldCharType="end"/>
            </w:r>
          </w:hyperlink>
        </w:p>
        <w:p w14:paraId="37169A86" w14:textId="1B514DC8" w:rsidR="003E6237" w:rsidRDefault="00AC017F">
          <w:pPr>
            <w:pStyle w:val="Obsah2"/>
            <w:tabs>
              <w:tab w:val="left" w:pos="880"/>
              <w:tab w:val="right" w:leader="dot" w:pos="9062"/>
            </w:tabs>
            <w:rPr>
              <w:rFonts w:eastAsiaTheme="minorEastAsia"/>
              <w:noProof/>
              <w:lang w:eastAsia="cs-CZ"/>
            </w:rPr>
          </w:pPr>
          <w:hyperlink w:anchor="_Toc175743043" w:history="1">
            <w:r w:rsidR="003E6237" w:rsidRPr="0090480F">
              <w:rPr>
                <w:rStyle w:val="Hypertextovodkaz"/>
                <w:rFonts w:cs="Arial"/>
                <w:noProof/>
              </w:rPr>
              <w:t>4.2</w:t>
            </w:r>
            <w:r w:rsidR="003E6237">
              <w:rPr>
                <w:rFonts w:eastAsiaTheme="minorEastAsia"/>
                <w:noProof/>
                <w:lang w:eastAsia="cs-CZ"/>
              </w:rPr>
              <w:tab/>
            </w:r>
            <w:r w:rsidR="003E6237" w:rsidRPr="0090480F">
              <w:rPr>
                <w:rStyle w:val="Hypertextovodkaz"/>
                <w:rFonts w:cs="Arial"/>
                <w:noProof/>
              </w:rPr>
              <w:t>Regionální stálé konference</w:t>
            </w:r>
            <w:r w:rsidR="003E6237">
              <w:rPr>
                <w:noProof/>
                <w:webHidden/>
              </w:rPr>
              <w:tab/>
            </w:r>
            <w:r w:rsidR="003E6237">
              <w:rPr>
                <w:noProof/>
                <w:webHidden/>
              </w:rPr>
              <w:fldChar w:fldCharType="begin"/>
            </w:r>
            <w:r w:rsidR="003E6237">
              <w:rPr>
                <w:noProof/>
                <w:webHidden/>
              </w:rPr>
              <w:instrText xml:space="preserve"> PAGEREF _Toc175743043 \h </w:instrText>
            </w:r>
            <w:r w:rsidR="003E6237">
              <w:rPr>
                <w:noProof/>
                <w:webHidden/>
              </w:rPr>
            </w:r>
            <w:r w:rsidR="003E6237">
              <w:rPr>
                <w:noProof/>
                <w:webHidden/>
              </w:rPr>
              <w:fldChar w:fldCharType="separate"/>
            </w:r>
            <w:r w:rsidR="003E6237">
              <w:rPr>
                <w:noProof/>
                <w:webHidden/>
              </w:rPr>
              <w:t>10</w:t>
            </w:r>
            <w:r w:rsidR="003E6237">
              <w:rPr>
                <w:noProof/>
                <w:webHidden/>
              </w:rPr>
              <w:fldChar w:fldCharType="end"/>
            </w:r>
          </w:hyperlink>
        </w:p>
        <w:p w14:paraId="7932D294" w14:textId="203927DE" w:rsidR="003E6237" w:rsidRDefault="00AC017F">
          <w:pPr>
            <w:pStyle w:val="Obsah2"/>
            <w:tabs>
              <w:tab w:val="left" w:pos="880"/>
              <w:tab w:val="right" w:leader="dot" w:pos="9062"/>
            </w:tabs>
            <w:rPr>
              <w:rFonts w:eastAsiaTheme="minorEastAsia"/>
              <w:noProof/>
              <w:lang w:eastAsia="cs-CZ"/>
            </w:rPr>
          </w:pPr>
          <w:hyperlink w:anchor="_Toc175743044" w:history="1">
            <w:r w:rsidR="003E6237" w:rsidRPr="0090480F">
              <w:rPr>
                <w:rStyle w:val="Hypertextovodkaz"/>
                <w:rFonts w:cs="Arial"/>
                <w:noProof/>
              </w:rPr>
              <w:t>4.3</w:t>
            </w:r>
            <w:r w:rsidR="003E6237">
              <w:rPr>
                <w:rFonts w:eastAsiaTheme="minorEastAsia"/>
                <w:noProof/>
                <w:lang w:eastAsia="cs-CZ"/>
              </w:rPr>
              <w:tab/>
            </w:r>
            <w:r w:rsidR="003E6237" w:rsidRPr="0090480F">
              <w:rPr>
                <w:rStyle w:val="Hypertextovodkaz"/>
                <w:rFonts w:cs="Arial"/>
                <w:noProof/>
              </w:rPr>
              <w:t>Nositelé projektů</w:t>
            </w:r>
            <w:r w:rsidR="003E6237">
              <w:rPr>
                <w:noProof/>
                <w:webHidden/>
              </w:rPr>
              <w:tab/>
            </w:r>
            <w:r w:rsidR="003E6237">
              <w:rPr>
                <w:noProof/>
                <w:webHidden/>
              </w:rPr>
              <w:fldChar w:fldCharType="begin"/>
            </w:r>
            <w:r w:rsidR="003E6237">
              <w:rPr>
                <w:noProof/>
                <w:webHidden/>
              </w:rPr>
              <w:instrText xml:space="preserve"> PAGEREF _Toc175743044 \h </w:instrText>
            </w:r>
            <w:r w:rsidR="003E6237">
              <w:rPr>
                <w:noProof/>
                <w:webHidden/>
              </w:rPr>
            </w:r>
            <w:r w:rsidR="003E6237">
              <w:rPr>
                <w:noProof/>
                <w:webHidden/>
              </w:rPr>
              <w:fldChar w:fldCharType="separate"/>
            </w:r>
            <w:r w:rsidR="003E6237">
              <w:rPr>
                <w:noProof/>
                <w:webHidden/>
              </w:rPr>
              <w:t>10</w:t>
            </w:r>
            <w:r w:rsidR="003E6237">
              <w:rPr>
                <w:noProof/>
                <w:webHidden/>
              </w:rPr>
              <w:fldChar w:fldCharType="end"/>
            </w:r>
          </w:hyperlink>
        </w:p>
        <w:p w14:paraId="2DC5780B" w14:textId="144D9FFD" w:rsidR="003E6237" w:rsidRDefault="00AC017F">
          <w:pPr>
            <w:pStyle w:val="Obsah1"/>
            <w:rPr>
              <w:rFonts w:eastAsiaTheme="minorEastAsia"/>
              <w:b w:val="0"/>
              <w:noProof/>
              <w:lang w:eastAsia="cs-CZ"/>
            </w:rPr>
          </w:pPr>
          <w:hyperlink w:anchor="_Toc175743045" w:history="1">
            <w:r w:rsidR="003E6237" w:rsidRPr="0090480F">
              <w:rPr>
                <w:rStyle w:val="Hypertextovodkaz"/>
                <w:rFonts w:cs="Arial"/>
                <w:noProof/>
              </w:rPr>
              <w:t>5</w:t>
            </w:r>
            <w:r w:rsidR="003E6237">
              <w:rPr>
                <w:rFonts w:eastAsiaTheme="minorEastAsia"/>
                <w:b w:val="0"/>
                <w:noProof/>
                <w:lang w:eastAsia="cs-CZ"/>
              </w:rPr>
              <w:tab/>
            </w:r>
            <w:r w:rsidR="003E6237" w:rsidRPr="0090480F">
              <w:rPr>
                <w:rStyle w:val="Hypertextovodkaz"/>
                <w:rFonts w:cs="Arial"/>
                <w:noProof/>
              </w:rPr>
              <w:t>Finanční zásady</w:t>
            </w:r>
            <w:r w:rsidR="003E6237">
              <w:rPr>
                <w:noProof/>
                <w:webHidden/>
              </w:rPr>
              <w:tab/>
            </w:r>
            <w:r w:rsidR="003E6237">
              <w:rPr>
                <w:noProof/>
                <w:webHidden/>
              </w:rPr>
              <w:fldChar w:fldCharType="begin"/>
            </w:r>
            <w:r w:rsidR="003E6237">
              <w:rPr>
                <w:noProof/>
                <w:webHidden/>
              </w:rPr>
              <w:instrText xml:space="preserve"> PAGEREF _Toc175743045 \h </w:instrText>
            </w:r>
            <w:r w:rsidR="003E6237">
              <w:rPr>
                <w:noProof/>
                <w:webHidden/>
              </w:rPr>
            </w:r>
            <w:r w:rsidR="003E6237">
              <w:rPr>
                <w:noProof/>
                <w:webHidden/>
              </w:rPr>
              <w:fldChar w:fldCharType="separate"/>
            </w:r>
            <w:r w:rsidR="003E6237">
              <w:rPr>
                <w:noProof/>
                <w:webHidden/>
              </w:rPr>
              <w:t>11</w:t>
            </w:r>
            <w:r w:rsidR="003E6237">
              <w:rPr>
                <w:noProof/>
                <w:webHidden/>
              </w:rPr>
              <w:fldChar w:fldCharType="end"/>
            </w:r>
          </w:hyperlink>
        </w:p>
        <w:p w14:paraId="0B9B16A4" w14:textId="2D23EB02" w:rsidR="003E6237" w:rsidRDefault="00AC017F">
          <w:pPr>
            <w:pStyle w:val="Obsah2"/>
            <w:tabs>
              <w:tab w:val="left" w:pos="880"/>
              <w:tab w:val="right" w:leader="dot" w:pos="9062"/>
            </w:tabs>
            <w:rPr>
              <w:rFonts w:eastAsiaTheme="minorEastAsia"/>
              <w:noProof/>
              <w:lang w:eastAsia="cs-CZ"/>
            </w:rPr>
          </w:pPr>
          <w:hyperlink w:anchor="_Toc175743046" w:history="1">
            <w:r w:rsidR="003E6237" w:rsidRPr="0090480F">
              <w:rPr>
                <w:rStyle w:val="Hypertextovodkaz"/>
                <w:rFonts w:cs="Arial"/>
                <w:noProof/>
              </w:rPr>
              <w:t>5.1</w:t>
            </w:r>
            <w:r w:rsidR="003E6237">
              <w:rPr>
                <w:rFonts w:eastAsiaTheme="minorEastAsia"/>
                <w:noProof/>
                <w:lang w:eastAsia="cs-CZ"/>
              </w:rPr>
              <w:tab/>
            </w:r>
            <w:r w:rsidR="003E6237" w:rsidRPr="0090480F">
              <w:rPr>
                <w:rStyle w:val="Hypertextovodkaz"/>
                <w:rFonts w:cs="Arial"/>
                <w:noProof/>
              </w:rPr>
              <w:t>Financování procesu přípravy a implementace</w:t>
            </w:r>
            <w:r w:rsidR="003E6237">
              <w:rPr>
                <w:noProof/>
                <w:webHidden/>
              </w:rPr>
              <w:tab/>
            </w:r>
            <w:r w:rsidR="003E6237">
              <w:rPr>
                <w:noProof/>
                <w:webHidden/>
              </w:rPr>
              <w:fldChar w:fldCharType="begin"/>
            </w:r>
            <w:r w:rsidR="003E6237">
              <w:rPr>
                <w:noProof/>
                <w:webHidden/>
              </w:rPr>
              <w:instrText xml:space="preserve"> PAGEREF _Toc175743046 \h </w:instrText>
            </w:r>
            <w:r w:rsidR="003E6237">
              <w:rPr>
                <w:noProof/>
                <w:webHidden/>
              </w:rPr>
            </w:r>
            <w:r w:rsidR="003E6237">
              <w:rPr>
                <w:noProof/>
                <w:webHidden/>
              </w:rPr>
              <w:fldChar w:fldCharType="separate"/>
            </w:r>
            <w:r w:rsidR="003E6237">
              <w:rPr>
                <w:noProof/>
                <w:webHidden/>
              </w:rPr>
              <w:t>11</w:t>
            </w:r>
            <w:r w:rsidR="003E6237">
              <w:rPr>
                <w:noProof/>
                <w:webHidden/>
              </w:rPr>
              <w:fldChar w:fldCharType="end"/>
            </w:r>
          </w:hyperlink>
        </w:p>
        <w:p w14:paraId="57C0407B" w14:textId="2C390D91" w:rsidR="003E6237" w:rsidRDefault="00AC017F">
          <w:pPr>
            <w:pStyle w:val="Obsah2"/>
            <w:tabs>
              <w:tab w:val="left" w:pos="880"/>
              <w:tab w:val="right" w:leader="dot" w:pos="9062"/>
            </w:tabs>
            <w:rPr>
              <w:rFonts w:eastAsiaTheme="minorEastAsia"/>
              <w:noProof/>
              <w:lang w:eastAsia="cs-CZ"/>
            </w:rPr>
          </w:pPr>
          <w:hyperlink w:anchor="_Toc175743047" w:history="1">
            <w:r w:rsidR="003E6237" w:rsidRPr="0090480F">
              <w:rPr>
                <w:rStyle w:val="Hypertextovodkaz"/>
                <w:rFonts w:cs="Arial"/>
                <w:noProof/>
              </w:rPr>
              <w:t>5.2</w:t>
            </w:r>
            <w:r w:rsidR="003E6237">
              <w:rPr>
                <w:rFonts w:eastAsiaTheme="minorEastAsia"/>
                <w:noProof/>
                <w:lang w:eastAsia="cs-CZ"/>
              </w:rPr>
              <w:tab/>
            </w:r>
            <w:r w:rsidR="003E6237" w:rsidRPr="0090480F">
              <w:rPr>
                <w:rStyle w:val="Hypertextovodkaz"/>
                <w:rFonts w:cs="Arial"/>
                <w:noProof/>
              </w:rPr>
              <w:t>Financování opatření Souhrnného akčního plánu</w:t>
            </w:r>
            <w:r w:rsidR="003E6237">
              <w:rPr>
                <w:noProof/>
                <w:webHidden/>
              </w:rPr>
              <w:tab/>
            </w:r>
            <w:r w:rsidR="003E6237">
              <w:rPr>
                <w:noProof/>
                <w:webHidden/>
              </w:rPr>
              <w:fldChar w:fldCharType="begin"/>
            </w:r>
            <w:r w:rsidR="003E6237">
              <w:rPr>
                <w:noProof/>
                <w:webHidden/>
              </w:rPr>
              <w:instrText xml:space="preserve"> PAGEREF _Toc175743047 \h </w:instrText>
            </w:r>
            <w:r w:rsidR="003E6237">
              <w:rPr>
                <w:noProof/>
                <w:webHidden/>
              </w:rPr>
            </w:r>
            <w:r w:rsidR="003E6237">
              <w:rPr>
                <w:noProof/>
                <w:webHidden/>
              </w:rPr>
              <w:fldChar w:fldCharType="separate"/>
            </w:r>
            <w:r w:rsidR="003E6237">
              <w:rPr>
                <w:noProof/>
                <w:webHidden/>
              </w:rPr>
              <w:t>11</w:t>
            </w:r>
            <w:r w:rsidR="003E6237">
              <w:rPr>
                <w:noProof/>
                <w:webHidden/>
              </w:rPr>
              <w:fldChar w:fldCharType="end"/>
            </w:r>
          </w:hyperlink>
        </w:p>
        <w:p w14:paraId="0576A3A7" w14:textId="77498E92" w:rsidR="003E6237" w:rsidRDefault="00AC017F">
          <w:pPr>
            <w:pStyle w:val="Obsah2"/>
            <w:tabs>
              <w:tab w:val="left" w:pos="880"/>
              <w:tab w:val="right" w:leader="dot" w:pos="9062"/>
            </w:tabs>
            <w:rPr>
              <w:rFonts w:eastAsiaTheme="minorEastAsia"/>
              <w:noProof/>
              <w:lang w:eastAsia="cs-CZ"/>
            </w:rPr>
          </w:pPr>
          <w:hyperlink w:anchor="_Toc175743048" w:history="1">
            <w:r w:rsidR="003E6237" w:rsidRPr="0090480F">
              <w:rPr>
                <w:rStyle w:val="Hypertextovodkaz"/>
                <w:rFonts w:cs="Arial"/>
                <w:noProof/>
              </w:rPr>
              <w:t>5.3</w:t>
            </w:r>
            <w:r w:rsidR="003E6237">
              <w:rPr>
                <w:rFonts w:eastAsiaTheme="minorEastAsia"/>
                <w:noProof/>
                <w:lang w:eastAsia="cs-CZ"/>
              </w:rPr>
              <w:tab/>
            </w:r>
            <w:r w:rsidR="003E6237" w:rsidRPr="0090480F">
              <w:rPr>
                <w:rStyle w:val="Hypertextovodkaz"/>
                <w:rFonts w:cs="Arial"/>
                <w:noProof/>
              </w:rPr>
              <w:t>Fond pro spravedlivou transformaci</w:t>
            </w:r>
            <w:r w:rsidR="003E6237">
              <w:rPr>
                <w:noProof/>
                <w:webHidden/>
              </w:rPr>
              <w:tab/>
            </w:r>
            <w:r w:rsidR="003E6237">
              <w:rPr>
                <w:noProof/>
                <w:webHidden/>
              </w:rPr>
              <w:fldChar w:fldCharType="begin"/>
            </w:r>
            <w:r w:rsidR="003E6237">
              <w:rPr>
                <w:noProof/>
                <w:webHidden/>
              </w:rPr>
              <w:instrText xml:space="preserve"> PAGEREF _Toc175743048 \h </w:instrText>
            </w:r>
            <w:r w:rsidR="003E6237">
              <w:rPr>
                <w:noProof/>
                <w:webHidden/>
              </w:rPr>
            </w:r>
            <w:r w:rsidR="003E6237">
              <w:rPr>
                <w:noProof/>
                <w:webHidden/>
              </w:rPr>
              <w:fldChar w:fldCharType="separate"/>
            </w:r>
            <w:r w:rsidR="003E6237">
              <w:rPr>
                <w:noProof/>
                <w:webHidden/>
              </w:rPr>
              <w:t>12</w:t>
            </w:r>
            <w:r w:rsidR="003E6237">
              <w:rPr>
                <w:noProof/>
                <w:webHidden/>
              </w:rPr>
              <w:fldChar w:fldCharType="end"/>
            </w:r>
          </w:hyperlink>
        </w:p>
        <w:p w14:paraId="3370DF89" w14:textId="4C592BD3" w:rsidR="003E6237" w:rsidRDefault="00AC017F">
          <w:pPr>
            <w:pStyle w:val="Obsah1"/>
            <w:rPr>
              <w:rFonts w:eastAsiaTheme="minorEastAsia"/>
              <w:b w:val="0"/>
              <w:noProof/>
              <w:lang w:eastAsia="cs-CZ"/>
            </w:rPr>
          </w:pPr>
          <w:hyperlink w:anchor="_Toc175743049" w:history="1">
            <w:r w:rsidR="003E6237" w:rsidRPr="0090480F">
              <w:rPr>
                <w:rStyle w:val="Hypertextovodkaz"/>
                <w:rFonts w:cs="Arial"/>
                <w:noProof/>
              </w:rPr>
              <w:t>6</w:t>
            </w:r>
            <w:r w:rsidR="003E6237">
              <w:rPr>
                <w:rFonts w:eastAsiaTheme="minorEastAsia"/>
                <w:b w:val="0"/>
                <w:noProof/>
                <w:lang w:eastAsia="cs-CZ"/>
              </w:rPr>
              <w:tab/>
            </w:r>
            <w:r w:rsidR="003E6237" w:rsidRPr="0090480F">
              <w:rPr>
                <w:rStyle w:val="Hypertextovodkaz"/>
                <w:rFonts w:cs="Arial"/>
                <w:noProof/>
              </w:rPr>
              <w:t>Monitorování realizace akčních plánů a hodnocení naplňování Strategického rámce hospodářské restrukturalizace</w:t>
            </w:r>
            <w:r w:rsidR="003E6237">
              <w:rPr>
                <w:noProof/>
                <w:webHidden/>
              </w:rPr>
              <w:tab/>
            </w:r>
            <w:r w:rsidR="003E6237">
              <w:rPr>
                <w:noProof/>
                <w:webHidden/>
              </w:rPr>
              <w:fldChar w:fldCharType="begin"/>
            </w:r>
            <w:r w:rsidR="003E6237">
              <w:rPr>
                <w:noProof/>
                <w:webHidden/>
              </w:rPr>
              <w:instrText xml:space="preserve"> PAGEREF _Toc175743049 \h </w:instrText>
            </w:r>
            <w:r w:rsidR="003E6237">
              <w:rPr>
                <w:noProof/>
                <w:webHidden/>
              </w:rPr>
            </w:r>
            <w:r w:rsidR="003E6237">
              <w:rPr>
                <w:noProof/>
                <w:webHidden/>
              </w:rPr>
              <w:fldChar w:fldCharType="separate"/>
            </w:r>
            <w:r w:rsidR="003E6237">
              <w:rPr>
                <w:noProof/>
                <w:webHidden/>
              </w:rPr>
              <w:t>12</w:t>
            </w:r>
            <w:r w:rsidR="003E6237">
              <w:rPr>
                <w:noProof/>
                <w:webHidden/>
              </w:rPr>
              <w:fldChar w:fldCharType="end"/>
            </w:r>
          </w:hyperlink>
        </w:p>
        <w:p w14:paraId="0C3C6882" w14:textId="12EB3ECD" w:rsidR="003E6237" w:rsidRDefault="00AC017F">
          <w:pPr>
            <w:pStyle w:val="Obsah2"/>
            <w:tabs>
              <w:tab w:val="left" w:pos="880"/>
              <w:tab w:val="right" w:leader="dot" w:pos="9062"/>
            </w:tabs>
            <w:rPr>
              <w:rFonts w:eastAsiaTheme="minorEastAsia"/>
              <w:noProof/>
              <w:lang w:eastAsia="cs-CZ"/>
            </w:rPr>
          </w:pPr>
          <w:hyperlink w:anchor="_Toc175743050" w:history="1">
            <w:r w:rsidR="003E6237" w:rsidRPr="0090480F">
              <w:rPr>
                <w:rStyle w:val="Hypertextovodkaz"/>
                <w:rFonts w:cs="Arial"/>
                <w:noProof/>
              </w:rPr>
              <w:t>6.1</w:t>
            </w:r>
            <w:r w:rsidR="003E6237">
              <w:rPr>
                <w:rFonts w:eastAsiaTheme="minorEastAsia"/>
                <w:noProof/>
                <w:lang w:eastAsia="cs-CZ"/>
              </w:rPr>
              <w:tab/>
            </w:r>
            <w:r w:rsidR="003E6237" w:rsidRPr="0090480F">
              <w:rPr>
                <w:rStyle w:val="Hypertextovodkaz"/>
                <w:rFonts w:cs="Arial"/>
                <w:noProof/>
              </w:rPr>
              <w:t>Monitorování Akčních plánů a Zpráva o realizaci opatření akčního plánu</w:t>
            </w:r>
            <w:r w:rsidR="003E6237">
              <w:rPr>
                <w:noProof/>
                <w:webHidden/>
              </w:rPr>
              <w:tab/>
            </w:r>
            <w:r w:rsidR="003E6237">
              <w:rPr>
                <w:noProof/>
                <w:webHidden/>
              </w:rPr>
              <w:fldChar w:fldCharType="begin"/>
            </w:r>
            <w:r w:rsidR="003E6237">
              <w:rPr>
                <w:noProof/>
                <w:webHidden/>
              </w:rPr>
              <w:instrText xml:space="preserve"> PAGEREF _Toc175743050 \h </w:instrText>
            </w:r>
            <w:r w:rsidR="003E6237">
              <w:rPr>
                <w:noProof/>
                <w:webHidden/>
              </w:rPr>
            </w:r>
            <w:r w:rsidR="003E6237">
              <w:rPr>
                <w:noProof/>
                <w:webHidden/>
              </w:rPr>
              <w:fldChar w:fldCharType="separate"/>
            </w:r>
            <w:r w:rsidR="003E6237">
              <w:rPr>
                <w:noProof/>
                <w:webHidden/>
              </w:rPr>
              <w:t>12</w:t>
            </w:r>
            <w:r w:rsidR="003E6237">
              <w:rPr>
                <w:noProof/>
                <w:webHidden/>
              </w:rPr>
              <w:fldChar w:fldCharType="end"/>
            </w:r>
          </w:hyperlink>
        </w:p>
        <w:p w14:paraId="0481FF9F" w14:textId="222EE4DD" w:rsidR="003E6237" w:rsidRDefault="00AC017F">
          <w:pPr>
            <w:pStyle w:val="Obsah2"/>
            <w:tabs>
              <w:tab w:val="left" w:pos="880"/>
              <w:tab w:val="right" w:leader="dot" w:pos="9062"/>
            </w:tabs>
            <w:rPr>
              <w:rFonts w:eastAsiaTheme="minorEastAsia"/>
              <w:noProof/>
              <w:lang w:eastAsia="cs-CZ"/>
            </w:rPr>
          </w:pPr>
          <w:hyperlink w:anchor="_Toc175743051" w:history="1">
            <w:r w:rsidR="003E6237" w:rsidRPr="0090480F">
              <w:rPr>
                <w:rStyle w:val="Hypertextovodkaz"/>
                <w:rFonts w:cs="Arial"/>
                <w:noProof/>
              </w:rPr>
              <w:t>6.2</w:t>
            </w:r>
            <w:r w:rsidR="003E6237">
              <w:rPr>
                <w:rFonts w:eastAsiaTheme="minorEastAsia"/>
                <w:noProof/>
                <w:lang w:eastAsia="cs-CZ"/>
              </w:rPr>
              <w:tab/>
            </w:r>
            <w:r w:rsidR="003E6237" w:rsidRPr="0090480F">
              <w:rPr>
                <w:rStyle w:val="Hypertextovodkaz"/>
                <w:rFonts w:cs="Arial"/>
                <w:noProof/>
              </w:rPr>
              <w:t>Hodnocení plnění Strategie RE:START</w:t>
            </w:r>
            <w:r w:rsidR="003E6237">
              <w:rPr>
                <w:noProof/>
                <w:webHidden/>
              </w:rPr>
              <w:tab/>
            </w:r>
            <w:r w:rsidR="003E6237">
              <w:rPr>
                <w:noProof/>
                <w:webHidden/>
              </w:rPr>
              <w:fldChar w:fldCharType="begin"/>
            </w:r>
            <w:r w:rsidR="003E6237">
              <w:rPr>
                <w:noProof/>
                <w:webHidden/>
              </w:rPr>
              <w:instrText xml:space="preserve"> PAGEREF _Toc175743051 \h </w:instrText>
            </w:r>
            <w:r w:rsidR="003E6237">
              <w:rPr>
                <w:noProof/>
                <w:webHidden/>
              </w:rPr>
            </w:r>
            <w:r w:rsidR="003E6237">
              <w:rPr>
                <w:noProof/>
                <w:webHidden/>
              </w:rPr>
              <w:fldChar w:fldCharType="separate"/>
            </w:r>
            <w:r w:rsidR="003E6237">
              <w:rPr>
                <w:noProof/>
                <w:webHidden/>
              </w:rPr>
              <w:t>13</w:t>
            </w:r>
            <w:r w:rsidR="003E6237">
              <w:rPr>
                <w:noProof/>
                <w:webHidden/>
              </w:rPr>
              <w:fldChar w:fldCharType="end"/>
            </w:r>
          </w:hyperlink>
        </w:p>
        <w:p w14:paraId="0A3839AD" w14:textId="6CCF8F3C" w:rsidR="003E6237" w:rsidRDefault="00AC017F">
          <w:pPr>
            <w:pStyle w:val="Obsah1"/>
            <w:rPr>
              <w:rFonts w:eastAsiaTheme="minorEastAsia"/>
              <w:b w:val="0"/>
              <w:noProof/>
              <w:lang w:eastAsia="cs-CZ"/>
            </w:rPr>
          </w:pPr>
          <w:hyperlink w:anchor="_Toc175743052" w:history="1">
            <w:r w:rsidR="003E6237" w:rsidRPr="0090480F">
              <w:rPr>
                <w:rStyle w:val="Hypertextovodkaz"/>
                <w:rFonts w:eastAsia="Calibri" w:cs="Arial"/>
                <w:noProof/>
              </w:rPr>
              <w:t>Příloha B: Protokoly o jednání Regionálních stálých konferencí a tripartit dotčených krajů</w:t>
            </w:r>
            <w:r w:rsidR="003E6237">
              <w:rPr>
                <w:noProof/>
                <w:webHidden/>
              </w:rPr>
              <w:tab/>
            </w:r>
            <w:r w:rsidR="003E6237">
              <w:rPr>
                <w:noProof/>
                <w:webHidden/>
              </w:rPr>
              <w:fldChar w:fldCharType="begin"/>
            </w:r>
            <w:r w:rsidR="003E6237">
              <w:rPr>
                <w:noProof/>
                <w:webHidden/>
              </w:rPr>
              <w:instrText xml:space="preserve"> PAGEREF _Toc175743052 \h </w:instrText>
            </w:r>
            <w:r w:rsidR="003E6237">
              <w:rPr>
                <w:noProof/>
                <w:webHidden/>
              </w:rPr>
            </w:r>
            <w:r w:rsidR="003E6237">
              <w:rPr>
                <w:noProof/>
                <w:webHidden/>
              </w:rPr>
              <w:fldChar w:fldCharType="separate"/>
            </w:r>
            <w:r w:rsidR="003E6237">
              <w:rPr>
                <w:noProof/>
                <w:webHidden/>
              </w:rPr>
              <w:t>14</w:t>
            </w:r>
            <w:r w:rsidR="003E6237">
              <w:rPr>
                <w:noProof/>
                <w:webHidden/>
              </w:rPr>
              <w:fldChar w:fldCharType="end"/>
            </w:r>
          </w:hyperlink>
        </w:p>
        <w:p w14:paraId="2A095D31" w14:textId="00438851" w:rsidR="003E6237" w:rsidRDefault="00AC017F">
          <w:pPr>
            <w:pStyle w:val="Obsah1"/>
            <w:rPr>
              <w:rFonts w:eastAsiaTheme="minorEastAsia"/>
              <w:b w:val="0"/>
              <w:noProof/>
              <w:lang w:eastAsia="cs-CZ"/>
            </w:rPr>
          </w:pPr>
          <w:hyperlink w:anchor="_Toc175743053" w:history="1">
            <w:r w:rsidR="003E6237" w:rsidRPr="0090480F">
              <w:rPr>
                <w:rStyle w:val="Hypertextovodkaz"/>
                <w:rFonts w:cs="Arial"/>
                <w:noProof/>
              </w:rPr>
              <w:t>Příloha C: Podrobný popis opatření Souhrnného akčního plánu Strategie restrukturalizace Ústeckého, Moravskoslezského a Karlovarského kraje 2025-2026</w:t>
            </w:r>
            <w:r w:rsidR="003E6237">
              <w:rPr>
                <w:noProof/>
                <w:webHidden/>
              </w:rPr>
              <w:tab/>
            </w:r>
            <w:r w:rsidR="003E6237">
              <w:rPr>
                <w:noProof/>
                <w:webHidden/>
              </w:rPr>
              <w:fldChar w:fldCharType="begin"/>
            </w:r>
            <w:r w:rsidR="003E6237">
              <w:rPr>
                <w:noProof/>
                <w:webHidden/>
              </w:rPr>
              <w:instrText xml:space="preserve"> PAGEREF _Toc175743053 \h </w:instrText>
            </w:r>
            <w:r w:rsidR="003E6237">
              <w:rPr>
                <w:noProof/>
                <w:webHidden/>
              </w:rPr>
            </w:r>
            <w:r w:rsidR="003E6237">
              <w:rPr>
                <w:noProof/>
                <w:webHidden/>
              </w:rPr>
              <w:fldChar w:fldCharType="separate"/>
            </w:r>
            <w:r w:rsidR="003E6237">
              <w:rPr>
                <w:noProof/>
                <w:webHidden/>
              </w:rPr>
              <w:t>15</w:t>
            </w:r>
            <w:r w:rsidR="003E6237">
              <w:rPr>
                <w:noProof/>
                <w:webHidden/>
              </w:rPr>
              <w:fldChar w:fldCharType="end"/>
            </w:r>
          </w:hyperlink>
        </w:p>
        <w:p w14:paraId="4448F53F" w14:textId="29B3CBB9" w:rsidR="003E6237" w:rsidRDefault="00AC017F">
          <w:pPr>
            <w:pStyle w:val="Obsah1"/>
            <w:rPr>
              <w:rFonts w:eastAsiaTheme="minorEastAsia"/>
              <w:b w:val="0"/>
              <w:noProof/>
              <w:lang w:eastAsia="cs-CZ"/>
            </w:rPr>
          </w:pPr>
          <w:hyperlink w:anchor="_Toc175743054" w:history="1">
            <w:r w:rsidR="003E6237" w:rsidRPr="0090480F">
              <w:rPr>
                <w:rStyle w:val="Hypertextovodkaz"/>
                <w:rFonts w:cs="Arial"/>
                <w:noProof/>
              </w:rPr>
              <w:t>1</w:t>
            </w:r>
            <w:r w:rsidR="003E6237">
              <w:rPr>
                <w:rFonts w:eastAsiaTheme="minorEastAsia"/>
                <w:b w:val="0"/>
                <w:noProof/>
                <w:lang w:eastAsia="cs-CZ"/>
              </w:rPr>
              <w:tab/>
            </w:r>
            <w:r w:rsidR="003E6237" w:rsidRPr="0090480F">
              <w:rPr>
                <w:rStyle w:val="Hypertextovodkaz"/>
                <w:rFonts w:cs="Arial"/>
                <w:noProof/>
              </w:rPr>
              <w:t>Pilíř A – Podnikání a inovace</w:t>
            </w:r>
            <w:r w:rsidR="003E6237">
              <w:rPr>
                <w:noProof/>
                <w:webHidden/>
              </w:rPr>
              <w:tab/>
            </w:r>
            <w:r w:rsidR="003E6237">
              <w:rPr>
                <w:noProof/>
                <w:webHidden/>
              </w:rPr>
              <w:fldChar w:fldCharType="begin"/>
            </w:r>
            <w:r w:rsidR="003E6237">
              <w:rPr>
                <w:noProof/>
                <w:webHidden/>
              </w:rPr>
              <w:instrText xml:space="preserve"> PAGEREF _Toc175743054 \h </w:instrText>
            </w:r>
            <w:r w:rsidR="003E6237">
              <w:rPr>
                <w:noProof/>
                <w:webHidden/>
              </w:rPr>
            </w:r>
            <w:r w:rsidR="003E6237">
              <w:rPr>
                <w:noProof/>
                <w:webHidden/>
              </w:rPr>
              <w:fldChar w:fldCharType="separate"/>
            </w:r>
            <w:r w:rsidR="003E6237">
              <w:rPr>
                <w:noProof/>
                <w:webHidden/>
              </w:rPr>
              <w:t>15</w:t>
            </w:r>
            <w:r w:rsidR="003E6237">
              <w:rPr>
                <w:noProof/>
                <w:webHidden/>
              </w:rPr>
              <w:fldChar w:fldCharType="end"/>
            </w:r>
          </w:hyperlink>
        </w:p>
        <w:p w14:paraId="3DF54090" w14:textId="1BE0D12A" w:rsidR="003E6237" w:rsidRDefault="00AC017F">
          <w:pPr>
            <w:pStyle w:val="Obsah2"/>
            <w:tabs>
              <w:tab w:val="left" w:pos="880"/>
              <w:tab w:val="right" w:leader="dot" w:pos="9062"/>
            </w:tabs>
            <w:rPr>
              <w:rFonts w:eastAsiaTheme="minorEastAsia"/>
              <w:noProof/>
              <w:lang w:eastAsia="cs-CZ"/>
            </w:rPr>
          </w:pPr>
          <w:hyperlink w:anchor="_Toc175743055" w:history="1">
            <w:r w:rsidR="003E6237" w:rsidRPr="0090480F">
              <w:rPr>
                <w:rStyle w:val="Hypertextovodkaz"/>
                <w:noProof/>
              </w:rPr>
              <w:t>1.1</w:t>
            </w:r>
            <w:r w:rsidR="003E6237">
              <w:rPr>
                <w:rFonts w:eastAsiaTheme="minorEastAsia"/>
                <w:noProof/>
                <w:lang w:eastAsia="cs-CZ"/>
              </w:rPr>
              <w:tab/>
            </w:r>
            <w:r w:rsidR="003E6237" w:rsidRPr="0090480F">
              <w:rPr>
                <w:rStyle w:val="Hypertextovodkaz"/>
                <w:noProof/>
              </w:rPr>
              <w:t>A. 1 Růst podniků a jejich pronikání na nové trhy, vyšší odolnost při změnách na trzích</w:t>
            </w:r>
            <w:r w:rsidR="003E6237">
              <w:rPr>
                <w:noProof/>
                <w:webHidden/>
              </w:rPr>
              <w:tab/>
            </w:r>
            <w:r w:rsidR="003E6237">
              <w:rPr>
                <w:noProof/>
                <w:webHidden/>
              </w:rPr>
              <w:fldChar w:fldCharType="begin"/>
            </w:r>
            <w:r w:rsidR="003E6237">
              <w:rPr>
                <w:noProof/>
                <w:webHidden/>
              </w:rPr>
              <w:instrText xml:space="preserve"> PAGEREF _Toc175743055 \h </w:instrText>
            </w:r>
            <w:r w:rsidR="003E6237">
              <w:rPr>
                <w:noProof/>
                <w:webHidden/>
              </w:rPr>
            </w:r>
            <w:r w:rsidR="003E6237">
              <w:rPr>
                <w:noProof/>
                <w:webHidden/>
              </w:rPr>
              <w:fldChar w:fldCharType="separate"/>
            </w:r>
            <w:r w:rsidR="003E6237">
              <w:rPr>
                <w:noProof/>
                <w:webHidden/>
              </w:rPr>
              <w:t>15</w:t>
            </w:r>
            <w:r w:rsidR="003E6237">
              <w:rPr>
                <w:noProof/>
                <w:webHidden/>
              </w:rPr>
              <w:fldChar w:fldCharType="end"/>
            </w:r>
          </w:hyperlink>
        </w:p>
        <w:p w14:paraId="04BAA384" w14:textId="600756BB" w:rsidR="003E6237" w:rsidRDefault="00AC017F">
          <w:pPr>
            <w:pStyle w:val="Obsah3"/>
            <w:tabs>
              <w:tab w:val="left" w:pos="1320"/>
              <w:tab w:val="right" w:leader="dot" w:pos="9062"/>
            </w:tabs>
            <w:rPr>
              <w:rFonts w:eastAsiaTheme="minorEastAsia"/>
              <w:noProof/>
              <w:lang w:eastAsia="cs-CZ"/>
            </w:rPr>
          </w:pPr>
          <w:hyperlink w:anchor="_Toc175743056" w:history="1">
            <w:r w:rsidR="003E6237" w:rsidRPr="0090480F">
              <w:rPr>
                <w:rStyle w:val="Hypertextovodkaz"/>
                <w:rFonts w:cs="Arial"/>
                <w:noProof/>
              </w:rPr>
              <w:t>1.1.1</w:t>
            </w:r>
            <w:r w:rsidR="003E6237">
              <w:rPr>
                <w:rFonts w:eastAsiaTheme="minorEastAsia"/>
                <w:noProof/>
                <w:lang w:eastAsia="cs-CZ"/>
              </w:rPr>
              <w:tab/>
            </w:r>
            <w:r w:rsidR="003E6237" w:rsidRPr="0090480F">
              <w:rPr>
                <w:rStyle w:val="Hypertextovodkaz"/>
                <w:rFonts w:cs="Arial"/>
                <w:noProof/>
              </w:rPr>
              <w:t>VI.A.1.1 Podpora rozvoje podnikatelských aktivit ve strukturálně postižených regionech prostřednictvím investic do nemovitého majetku</w:t>
            </w:r>
            <w:r w:rsidR="003E6237">
              <w:rPr>
                <w:noProof/>
                <w:webHidden/>
              </w:rPr>
              <w:tab/>
            </w:r>
            <w:r w:rsidR="003E6237">
              <w:rPr>
                <w:noProof/>
                <w:webHidden/>
              </w:rPr>
              <w:fldChar w:fldCharType="begin"/>
            </w:r>
            <w:r w:rsidR="003E6237">
              <w:rPr>
                <w:noProof/>
                <w:webHidden/>
              </w:rPr>
              <w:instrText xml:space="preserve"> PAGEREF _Toc175743056 \h </w:instrText>
            </w:r>
            <w:r w:rsidR="003E6237">
              <w:rPr>
                <w:noProof/>
                <w:webHidden/>
              </w:rPr>
            </w:r>
            <w:r w:rsidR="003E6237">
              <w:rPr>
                <w:noProof/>
                <w:webHidden/>
              </w:rPr>
              <w:fldChar w:fldCharType="separate"/>
            </w:r>
            <w:r w:rsidR="003E6237">
              <w:rPr>
                <w:noProof/>
                <w:webHidden/>
              </w:rPr>
              <w:t>15</w:t>
            </w:r>
            <w:r w:rsidR="003E6237">
              <w:rPr>
                <w:noProof/>
                <w:webHidden/>
              </w:rPr>
              <w:fldChar w:fldCharType="end"/>
            </w:r>
          </w:hyperlink>
        </w:p>
        <w:p w14:paraId="071FB235" w14:textId="75631FB3" w:rsidR="003E6237" w:rsidRDefault="00AC017F">
          <w:pPr>
            <w:pStyle w:val="Obsah1"/>
            <w:rPr>
              <w:rFonts w:eastAsiaTheme="minorEastAsia"/>
              <w:b w:val="0"/>
              <w:noProof/>
              <w:lang w:eastAsia="cs-CZ"/>
            </w:rPr>
          </w:pPr>
          <w:hyperlink w:anchor="_Toc175743057" w:history="1">
            <w:r w:rsidR="003E6237" w:rsidRPr="0090480F">
              <w:rPr>
                <w:rStyle w:val="Hypertextovodkaz"/>
                <w:noProof/>
              </w:rPr>
              <w:t>2</w:t>
            </w:r>
            <w:r w:rsidR="003E6237">
              <w:rPr>
                <w:rFonts w:eastAsiaTheme="minorEastAsia"/>
                <w:b w:val="0"/>
                <w:noProof/>
                <w:lang w:eastAsia="cs-CZ"/>
              </w:rPr>
              <w:tab/>
            </w:r>
            <w:r w:rsidR="003E6237" w:rsidRPr="0090480F">
              <w:rPr>
                <w:rStyle w:val="Hypertextovodkaz"/>
                <w:noProof/>
              </w:rPr>
              <w:t>Pilíř B– Přímé investice</w:t>
            </w:r>
            <w:r w:rsidR="003E6237">
              <w:rPr>
                <w:noProof/>
                <w:webHidden/>
              </w:rPr>
              <w:tab/>
            </w:r>
            <w:r w:rsidR="003E6237">
              <w:rPr>
                <w:noProof/>
                <w:webHidden/>
              </w:rPr>
              <w:fldChar w:fldCharType="begin"/>
            </w:r>
            <w:r w:rsidR="003E6237">
              <w:rPr>
                <w:noProof/>
                <w:webHidden/>
              </w:rPr>
              <w:instrText xml:space="preserve"> PAGEREF _Toc175743057 \h </w:instrText>
            </w:r>
            <w:r w:rsidR="003E6237">
              <w:rPr>
                <w:noProof/>
                <w:webHidden/>
              </w:rPr>
            </w:r>
            <w:r w:rsidR="003E6237">
              <w:rPr>
                <w:noProof/>
                <w:webHidden/>
              </w:rPr>
              <w:fldChar w:fldCharType="separate"/>
            </w:r>
            <w:r w:rsidR="003E6237">
              <w:rPr>
                <w:noProof/>
                <w:webHidden/>
              </w:rPr>
              <w:t>17</w:t>
            </w:r>
            <w:r w:rsidR="003E6237">
              <w:rPr>
                <w:noProof/>
                <w:webHidden/>
              </w:rPr>
              <w:fldChar w:fldCharType="end"/>
            </w:r>
          </w:hyperlink>
        </w:p>
        <w:p w14:paraId="66045805" w14:textId="09633CE2" w:rsidR="003E6237" w:rsidRDefault="00AC017F">
          <w:pPr>
            <w:pStyle w:val="Obsah2"/>
            <w:tabs>
              <w:tab w:val="left" w:pos="880"/>
              <w:tab w:val="right" w:leader="dot" w:pos="9062"/>
            </w:tabs>
            <w:rPr>
              <w:rFonts w:eastAsiaTheme="minorEastAsia"/>
              <w:noProof/>
              <w:lang w:eastAsia="cs-CZ"/>
            </w:rPr>
          </w:pPr>
          <w:hyperlink w:anchor="_Toc175743058" w:history="1">
            <w:r w:rsidR="003E6237" w:rsidRPr="0090480F">
              <w:rPr>
                <w:rStyle w:val="Hypertextovodkaz"/>
                <w:noProof/>
              </w:rPr>
              <w:t>2.1</w:t>
            </w:r>
            <w:r w:rsidR="003E6237">
              <w:rPr>
                <w:rFonts w:eastAsiaTheme="minorEastAsia"/>
                <w:noProof/>
                <w:lang w:eastAsia="cs-CZ"/>
              </w:rPr>
              <w:tab/>
            </w:r>
            <w:r w:rsidR="003E6237" w:rsidRPr="0090480F">
              <w:rPr>
                <w:rStyle w:val="Hypertextovodkaz"/>
                <w:rFonts w:cs="Arial"/>
                <w:noProof/>
              </w:rPr>
              <w:t xml:space="preserve">B.1 </w:t>
            </w:r>
            <w:r w:rsidR="003E6237" w:rsidRPr="0090480F">
              <w:rPr>
                <w:rStyle w:val="Hypertextovodkaz"/>
                <w:noProof/>
              </w:rPr>
              <w:t>Vytvořit kvalitní a atraktivní podnikatelské prostředí</w:t>
            </w:r>
            <w:r w:rsidR="003E6237">
              <w:rPr>
                <w:noProof/>
                <w:webHidden/>
              </w:rPr>
              <w:tab/>
            </w:r>
            <w:r w:rsidR="003E6237">
              <w:rPr>
                <w:noProof/>
                <w:webHidden/>
              </w:rPr>
              <w:fldChar w:fldCharType="begin"/>
            </w:r>
            <w:r w:rsidR="003E6237">
              <w:rPr>
                <w:noProof/>
                <w:webHidden/>
              </w:rPr>
              <w:instrText xml:space="preserve"> PAGEREF _Toc175743058 \h </w:instrText>
            </w:r>
            <w:r w:rsidR="003E6237">
              <w:rPr>
                <w:noProof/>
                <w:webHidden/>
              </w:rPr>
            </w:r>
            <w:r w:rsidR="003E6237">
              <w:rPr>
                <w:noProof/>
                <w:webHidden/>
              </w:rPr>
              <w:fldChar w:fldCharType="separate"/>
            </w:r>
            <w:r w:rsidR="003E6237">
              <w:rPr>
                <w:noProof/>
                <w:webHidden/>
              </w:rPr>
              <w:t>17</w:t>
            </w:r>
            <w:r w:rsidR="003E6237">
              <w:rPr>
                <w:noProof/>
                <w:webHidden/>
              </w:rPr>
              <w:fldChar w:fldCharType="end"/>
            </w:r>
          </w:hyperlink>
        </w:p>
        <w:p w14:paraId="4FB19D92" w14:textId="632C133D" w:rsidR="003E6237" w:rsidRDefault="00AC017F">
          <w:pPr>
            <w:pStyle w:val="Obsah3"/>
            <w:tabs>
              <w:tab w:val="left" w:pos="1320"/>
              <w:tab w:val="right" w:leader="dot" w:pos="9062"/>
            </w:tabs>
            <w:rPr>
              <w:rFonts w:eastAsiaTheme="minorEastAsia"/>
              <w:noProof/>
              <w:lang w:eastAsia="cs-CZ"/>
            </w:rPr>
          </w:pPr>
          <w:hyperlink w:anchor="_Toc175743059" w:history="1">
            <w:r w:rsidR="003E6237" w:rsidRPr="0090480F">
              <w:rPr>
                <w:rStyle w:val="Hypertextovodkaz"/>
                <w:noProof/>
              </w:rPr>
              <w:t>2.1.1</w:t>
            </w:r>
            <w:r w:rsidR="003E6237">
              <w:rPr>
                <w:rFonts w:eastAsiaTheme="minorEastAsia"/>
                <w:noProof/>
                <w:lang w:eastAsia="cs-CZ"/>
              </w:rPr>
              <w:tab/>
            </w:r>
            <w:r w:rsidR="003E6237" w:rsidRPr="0090480F">
              <w:rPr>
                <w:rStyle w:val="Hypertextovodkaz"/>
                <w:noProof/>
              </w:rPr>
              <w:t>VI.B.1.3 Návrh komplexního projektu propojujícího v Ústeckém a Karlovarském kraji těžbu lithia a doprovodných kovů</w:t>
            </w:r>
            <w:r w:rsidR="003E6237">
              <w:rPr>
                <w:noProof/>
                <w:webHidden/>
              </w:rPr>
              <w:tab/>
            </w:r>
            <w:r w:rsidR="003E6237">
              <w:rPr>
                <w:noProof/>
                <w:webHidden/>
              </w:rPr>
              <w:fldChar w:fldCharType="begin"/>
            </w:r>
            <w:r w:rsidR="003E6237">
              <w:rPr>
                <w:noProof/>
                <w:webHidden/>
              </w:rPr>
              <w:instrText xml:space="preserve"> PAGEREF _Toc175743059 \h </w:instrText>
            </w:r>
            <w:r w:rsidR="003E6237">
              <w:rPr>
                <w:noProof/>
                <w:webHidden/>
              </w:rPr>
            </w:r>
            <w:r w:rsidR="003E6237">
              <w:rPr>
                <w:noProof/>
                <w:webHidden/>
              </w:rPr>
              <w:fldChar w:fldCharType="separate"/>
            </w:r>
            <w:r w:rsidR="003E6237">
              <w:rPr>
                <w:noProof/>
                <w:webHidden/>
              </w:rPr>
              <w:t>17</w:t>
            </w:r>
            <w:r w:rsidR="003E6237">
              <w:rPr>
                <w:noProof/>
                <w:webHidden/>
              </w:rPr>
              <w:fldChar w:fldCharType="end"/>
            </w:r>
          </w:hyperlink>
        </w:p>
        <w:p w14:paraId="6BF6B723" w14:textId="469B2C81" w:rsidR="003E6237" w:rsidRDefault="00AC017F">
          <w:pPr>
            <w:pStyle w:val="Obsah1"/>
            <w:rPr>
              <w:rFonts w:eastAsiaTheme="minorEastAsia"/>
              <w:b w:val="0"/>
              <w:noProof/>
              <w:lang w:eastAsia="cs-CZ"/>
            </w:rPr>
          </w:pPr>
          <w:hyperlink w:anchor="_Toc175743060" w:history="1">
            <w:r w:rsidR="003E6237" w:rsidRPr="0090480F">
              <w:rPr>
                <w:rStyle w:val="Hypertextovodkaz"/>
                <w:rFonts w:cs="Arial"/>
                <w:noProof/>
              </w:rPr>
              <w:t>3</w:t>
            </w:r>
            <w:r w:rsidR="003E6237">
              <w:rPr>
                <w:rFonts w:eastAsiaTheme="minorEastAsia"/>
                <w:b w:val="0"/>
                <w:noProof/>
                <w:lang w:eastAsia="cs-CZ"/>
              </w:rPr>
              <w:tab/>
            </w:r>
            <w:r w:rsidR="003E6237" w:rsidRPr="0090480F">
              <w:rPr>
                <w:rStyle w:val="Hypertextovodkaz"/>
                <w:rFonts w:cs="Arial"/>
                <w:noProof/>
              </w:rPr>
              <w:t>Pilíř D – Potenciál lidí</w:t>
            </w:r>
            <w:r w:rsidR="003E6237">
              <w:rPr>
                <w:noProof/>
                <w:webHidden/>
              </w:rPr>
              <w:tab/>
            </w:r>
            <w:r w:rsidR="003E6237">
              <w:rPr>
                <w:noProof/>
                <w:webHidden/>
              </w:rPr>
              <w:fldChar w:fldCharType="begin"/>
            </w:r>
            <w:r w:rsidR="003E6237">
              <w:rPr>
                <w:noProof/>
                <w:webHidden/>
              </w:rPr>
              <w:instrText xml:space="preserve"> PAGEREF _Toc175743060 \h </w:instrText>
            </w:r>
            <w:r w:rsidR="003E6237">
              <w:rPr>
                <w:noProof/>
                <w:webHidden/>
              </w:rPr>
            </w:r>
            <w:r w:rsidR="003E6237">
              <w:rPr>
                <w:noProof/>
                <w:webHidden/>
              </w:rPr>
              <w:fldChar w:fldCharType="separate"/>
            </w:r>
            <w:r w:rsidR="003E6237">
              <w:rPr>
                <w:noProof/>
                <w:webHidden/>
              </w:rPr>
              <w:t>21</w:t>
            </w:r>
            <w:r w:rsidR="003E6237">
              <w:rPr>
                <w:noProof/>
                <w:webHidden/>
              </w:rPr>
              <w:fldChar w:fldCharType="end"/>
            </w:r>
          </w:hyperlink>
        </w:p>
        <w:p w14:paraId="72DCB665" w14:textId="1CEF29BA" w:rsidR="003E6237" w:rsidRDefault="00AC017F">
          <w:pPr>
            <w:pStyle w:val="Obsah2"/>
            <w:tabs>
              <w:tab w:val="left" w:pos="880"/>
              <w:tab w:val="right" w:leader="dot" w:pos="9062"/>
            </w:tabs>
            <w:rPr>
              <w:rFonts w:eastAsiaTheme="minorEastAsia"/>
              <w:noProof/>
              <w:lang w:eastAsia="cs-CZ"/>
            </w:rPr>
          </w:pPr>
          <w:hyperlink w:anchor="_Toc175743061" w:history="1">
            <w:r w:rsidR="003E6237" w:rsidRPr="0090480F">
              <w:rPr>
                <w:rStyle w:val="Hypertextovodkaz"/>
                <w:noProof/>
              </w:rPr>
              <w:t>3.1</w:t>
            </w:r>
            <w:r w:rsidR="003E6237">
              <w:rPr>
                <w:rFonts w:eastAsiaTheme="minorEastAsia"/>
                <w:noProof/>
                <w:lang w:eastAsia="cs-CZ"/>
              </w:rPr>
              <w:tab/>
            </w:r>
            <w:r w:rsidR="003E6237" w:rsidRPr="0090480F">
              <w:rPr>
                <w:rStyle w:val="Hypertextovodkaz"/>
                <w:noProof/>
              </w:rPr>
              <w:t>D.1 - Více lepších pracovních příležitostí („high-skills“ pro soukromý i veřejný sektor)</w:t>
            </w:r>
            <w:r w:rsidR="003E6237">
              <w:rPr>
                <w:noProof/>
                <w:webHidden/>
              </w:rPr>
              <w:tab/>
            </w:r>
            <w:r w:rsidR="003E6237">
              <w:rPr>
                <w:noProof/>
                <w:webHidden/>
              </w:rPr>
              <w:fldChar w:fldCharType="begin"/>
            </w:r>
            <w:r w:rsidR="003E6237">
              <w:rPr>
                <w:noProof/>
                <w:webHidden/>
              </w:rPr>
              <w:instrText xml:space="preserve"> PAGEREF _Toc175743061 \h </w:instrText>
            </w:r>
            <w:r w:rsidR="003E6237">
              <w:rPr>
                <w:noProof/>
                <w:webHidden/>
              </w:rPr>
            </w:r>
            <w:r w:rsidR="003E6237">
              <w:rPr>
                <w:noProof/>
                <w:webHidden/>
              </w:rPr>
              <w:fldChar w:fldCharType="separate"/>
            </w:r>
            <w:r w:rsidR="003E6237">
              <w:rPr>
                <w:noProof/>
                <w:webHidden/>
              </w:rPr>
              <w:t>21</w:t>
            </w:r>
            <w:r w:rsidR="003E6237">
              <w:rPr>
                <w:noProof/>
                <w:webHidden/>
              </w:rPr>
              <w:fldChar w:fldCharType="end"/>
            </w:r>
          </w:hyperlink>
        </w:p>
        <w:p w14:paraId="184E2420" w14:textId="7557ECF7" w:rsidR="003E6237" w:rsidRDefault="00AC017F">
          <w:pPr>
            <w:pStyle w:val="Obsah3"/>
            <w:tabs>
              <w:tab w:val="left" w:pos="1320"/>
              <w:tab w:val="right" w:leader="dot" w:pos="9062"/>
            </w:tabs>
            <w:rPr>
              <w:rFonts w:eastAsiaTheme="minorEastAsia"/>
              <w:noProof/>
              <w:lang w:eastAsia="cs-CZ"/>
            </w:rPr>
          </w:pPr>
          <w:hyperlink w:anchor="_Toc175743062" w:history="1">
            <w:r w:rsidR="003E6237" w:rsidRPr="0090480F">
              <w:rPr>
                <w:rStyle w:val="Hypertextovodkaz"/>
                <w:noProof/>
              </w:rPr>
              <w:t>3.1.1</w:t>
            </w:r>
            <w:r w:rsidR="003E6237">
              <w:rPr>
                <w:rFonts w:eastAsiaTheme="minorEastAsia"/>
                <w:noProof/>
                <w:lang w:eastAsia="cs-CZ"/>
              </w:rPr>
              <w:tab/>
            </w:r>
            <w:r w:rsidR="003E6237" w:rsidRPr="0090480F">
              <w:rPr>
                <w:rStyle w:val="Hypertextovodkaz"/>
                <w:noProof/>
              </w:rPr>
              <w:t>VI.D.1.2 - Koordinace a příprava podrobného návrhu realizace kompetenčního a tréninkového centra/vzdělávací platformy orientované na sdílení znalostí v oblasti polovodičového hodnotového řetězce</w:t>
            </w:r>
            <w:r w:rsidR="003E6237">
              <w:rPr>
                <w:noProof/>
                <w:webHidden/>
              </w:rPr>
              <w:tab/>
            </w:r>
            <w:r w:rsidR="003E6237">
              <w:rPr>
                <w:noProof/>
                <w:webHidden/>
              </w:rPr>
              <w:fldChar w:fldCharType="begin"/>
            </w:r>
            <w:r w:rsidR="003E6237">
              <w:rPr>
                <w:noProof/>
                <w:webHidden/>
              </w:rPr>
              <w:instrText xml:space="preserve"> PAGEREF _Toc175743062 \h </w:instrText>
            </w:r>
            <w:r w:rsidR="003E6237">
              <w:rPr>
                <w:noProof/>
                <w:webHidden/>
              </w:rPr>
            </w:r>
            <w:r w:rsidR="003E6237">
              <w:rPr>
                <w:noProof/>
                <w:webHidden/>
              </w:rPr>
              <w:fldChar w:fldCharType="separate"/>
            </w:r>
            <w:r w:rsidR="003E6237">
              <w:rPr>
                <w:noProof/>
                <w:webHidden/>
              </w:rPr>
              <w:t>21</w:t>
            </w:r>
            <w:r w:rsidR="003E6237">
              <w:rPr>
                <w:noProof/>
                <w:webHidden/>
              </w:rPr>
              <w:fldChar w:fldCharType="end"/>
            </w:r>
          </w:hyperlink>
        </w:p>
        <w:p w14:paraId="08CC949A" w14:textId="66A41DDA" w:rsidR="003E6237" w:rsidRDefault="00AC017F">
          <w:pPr>
            <w:pStyle w:val="Obsah1"/>
            <w:rPr>
              <w:rFonts w:eastAsiaTheme="minorEastAsia"/>
              <w:b w:val="0"/>
              <w:noProof/>
              <w:lang w:eastAsia="cs-CZ"/>
            </w:rPr>
          </w:pPr>
          <w:hyperlink w:anchor="_Toc175743063" w:history="1">
            <w:r w:rsidR="003E6237" w:rsidRPr="0090480F">
              <w:rPr>
                <w:rStyle w:val="Hypertextovodkaz"/>
                <w:rFonts w:cs="Arial"/>
                <w:noProof/>
              </w:rPr>
              <w:t>4</w:t>
            </w:r>
            <w:r w:rsidR="003E6237">
              <w:rPr>
                <w:rFonts w:eastAsiaTheme="minorEastAsia"/>
                <w:b w:val="0"/>
                <w:noProof/>
                <w:lang w:eastAsia="cs-CZ"/>
              </w:rPr>
              <w:tab/>
            </w:r>
            <w:r w:rsidR="003E6237" w:rsidRPr="0090480F">
              <w:rPr>
                <w:rStyle w:val="Hypertextovodkaz"/>
                <w:rFonts w:cs="Arial"/>
                <w:noProof/>
              </w:rPr>
              <w:t>Pilíř F – Životní prostředí</w:t>
            </w:r>
            <w:r w:rsidR="003E6237">
              <w:rPr>
                <w:noProof/>
                <w:webHidden/>
              </w:rPr>
              <w:tab/>
            </w:r>
            <w:r w:rsidR="003E6237">
              <w:rPr>
                <w:noProof/>
                <w:webHidden/>
              </w:rPr>
              <w:fldChar w:fldCharType="begin"/>
            </w:r>
            <w:r w:rsidR="003E6237">
              <w:rPr>
                <w:noProof/>
                <w:webHidden/>
              </w:rPr>
              <w:instrText xml:space="preserve"> PAGEREF _Toc175743063 \h </w:instrText>
            </w:r>
            <w:r w:rsidR="003E6237">
              <w:rPr>
                <w:noProof/>
                <w:webHidden/>
              </w:rPr>
            </w:r>
            <w:r w:rsidR="003E6237">
              <w:rPr>
                <w:noProof/>
                <w:webHidden/>
              </w:rPr>
              <w:fldChar w:fldCharType="separate"/>
            </w:r>
            <w:r w:rsidR="003E6237">
              <w:rPr>
                <w:noProof/>
                <w:webHidden/>
              </w:rPr>
              <w:t>25</w:t>
            </w:r>
            <w:r w:rsidR="003E6237">
              <w:rPr>
                <w:noProof/>
                <w:webHidden/>
              </w:rPr>
              <w:fldChar w:fldCharType="end"/>
            </w:r>
          </w:hyperlink>
        </w:p>
        <w:p w14:paraId="2B6D9B88" w14:textId="2F697B7A" w:rsidR="003E6237" w:rsidRDefault="00AC017F">
          <w:pPr>
            <w:pStyle w:val="Obsah2"/>
            <w:tabs>
              <w:tab w:val="left" w:pos="880"/>
              <w:tab w:val="right" w:leader="dot" w:pos="9062"/>
            </w:tabs>
            <w:rPr>
              <w:rFonts w:eastAsiaTheme="minorEastAsia"/>
              <w:noProof/>
              <w:lang w:eastAsia="cs-CZ"/>
            </w:rPr>
          </w:pPr>
          <w:hyperlink w:anchor="_Toc175743064" w:history="1">
            <w:r w:rsidR="003E6237" w:rsidRPr="0090480F">
              <w:rPr>
                <w:rStyle w:val="Hypertextovodkaz"/>
                <w:noProof/>
              </w:rPr>
              <w:t>4.1</w:t>
            </w:r>
            <w:r w:rsidR="003E6237">
              <w:rPr>
                <w:rFonts w:eastAsiaTheme="minorEastAsia"/>
                <w:noProof/>
                <w:lang w:eastAsia="cs-CZ"/>
              </w:rPr>
              <w:tab/>
            </w:r>
            <w:r w:rsidR="003E6237" w:rsidRPr="0090480F">
              <w:rPr>
                <w:rStyle w:val="Hypertextovodkaz"/>
                <w:noProof/>
              </w:rPr>
              <w:t>F.2 Regenerovat rozvojová, deprivovaná nebo periferní území v sídlech s vysokou koncentrací obyvatel</w:t>
            </w:r>
            <w:r w:rsidR="003E6237">
              <w:rPr>
                <w:noProof/>
                <w:webHidden/>
              </w:rPr>
              <w:tab/>
            </w:r>
            <w:r w:rsidR="003E6237">
              <w:rPr>
                <w:noProof/>
                <w:webHidden/>
              </w:rPr>
              <w:fldChar w:fldCharType="begin"/>
            </w:r>
            <w:r w:rsidR="003E6237">
              <w:rPr>
                <w:noProof/>
                <w:webHidden/>
              </w:rPr>
              <w:instrText xml:space="preserve"> PAGEREF _Toc175743064 \h </w:instrText>
            </w:r>
            <w:r w:rsidR="003E6237">
              <w:rPr>
                <w:noProof/>
                <w:webHidden/>
              </w:rPr>
            </w:r>
            <w:r w:rsidR="003E6237">
              <w:rPr>
                <w:noProof/>
                <w:webHidden/>
              </w:rPr>
              <w:fldChar w:fldCharType="separate"/>
            </w:r>
            <w:r w:rsidR="003E6237">
              <w:rPr>
                <w:noProof/>
                <w:webHidden/>
              </w:rPr>
              <w:t>25</w:t>
            </w:r>
            <w:r w:rsidR="003E6237">
              <w:rPr>
                <w:noProof/>
                <w:webHidden/>
              </w:rPr>
              <w:fldChar w:fldCharType="end"/>
            </w:r>
          </w:hyperlink>
        </w:p>
        <w:p w14:paraId="26F4841A" w14:textId="5F7ABE9F" w:rsidR="003E6237" w:rsidRDefault="00AC017F">
          <w:pPr>
            <w:pStyle w:val="Obsah3"/>
            <w:tabs>
              <w:tab w:val="left" w:pos="1320"/>
              <w:tab w:val="right" w:leader="dot" w:pos="9062"/>
            </w:tabs>
            <w:rPr>
              <w:rFonts w:eastAsiaTheme="minorEastAsia"/>
              <w:noProof/>
              <w:lang w:eastAsia="cs-CZ"/>
            </w:rPr>
          </w:pPr>
          <w:hyperlink w:anchor="_Toc175743065" w:history="1">
            <w:r w:rsidR="003E6237" w:rsidRPr="0090480F">
              <w:rPr>
                <w:rStyle w:val="Hypertextovodkaz"/>
                <w:noProof/>
              </w:rPr>
              <w:t>4.1.1</w:t>
            </w:r>
            <w:r w:rsidR="003E6237">
              <w:rPr>
                <w:rFonts w:eastAsiaTheme="minorEastAsia"/>
                <w:noProof/>
                <w:lang w:eastAsia="cs-CZ"/>
              </w:rPr>
              <w:tab/>
            </w:r>
            <w:r w:rsidR="003E6237" w:rsidRPr="0090480F">
              <w:rPr>
                <w:rStyle w:val="Hypertextovodkaz"/>
                <w:noProof/>
              </w:rPr>
              <w:t>VI.F.2.1 Demolice v sociálně vyloučených lokalitách</w:t>
            </w:r>
            <w:r w:rsidR="003E6237">
              <w:rPr>
                <w:noProof/>
                <w:webHidden/>
              </w:rPr>
              <w:tab/>
            </w:r>
            <w:r w:rsidR="003E6237">
              <w:rPr>
                <w:noProof/>
                <w:webHidden/>
              </w:rPr>
              <w:fldChar w:fldCharType="begin"/>
            </w:r>
            <w:r w:rsidR="003E6237">
              <w:rPr>
                <w:noProof/>
                <w:webHidden/>
              </w:rPr>
              <w:instrText xml:space="preserve"> PAGEREF _Toc175743065 \h </w:instrText>
            </w:r>
            <w:r w:rsidR="003E6237">
              <w:rPr>
                <w:noProof/>
                <w:webHidden/>
              </w:rPr>
            </w:r>
            <w:r w:rsidR="003E6237">
              <w:rPr>
                <w:noProof/>
                <w:webHidden/>
              </w:rPr>
              <w:fldChar w:fldCharType="separate"/>
            </w:r>
            <w:r w:rsidR="003E6237">
              <w:rPr>
                <w:noProof/>
                <w:webHidden/>
              </w:rPr>
              <w:t>25</w:t>
            </w:r>
            <w:r w:rsidR="003E6237">
              <w:rPr>
                <w:noProof/>
                <w:webHidden/>
              </w:rPr>
              <w:fldChar w:fldCharType="end"/>
            </w:r>
          </w:hyperlink>
        </w:p>
        <w:p w14:paraId="0D7CAF2B" w14:textId="4FF2C429" w:rsidR="003E6237" w:rsidRDefault="00AC017F">
          <w:pPr>
            <w:pStyle w:val="Obsah2"/>
            <w:tabs>
              <w:tab w:val="left" w:pos="880"/>
              <w:tab w:val="right" w:leader="dot" w:pos="9062"/>
            </w:tabs>
            <w:rPr>
              <w:rFonts w:eastAsiaTheme="minorEastAsia"/>
              <w:noProof/>
              <w:lang w:eastAsia="cs-CZ"/>
            </w:rPr>
          </w:pPr>
          <w:hyperlink w:anchor="_Toc175743066" w:history="1">
            <w:r w:rsidR="003E6237" w:rsidRPr="0090480F">
              <w:rPr>
                <w:rStyle w:val="Hypertextovodkaz"/>
                <w:noProof/>
              </w:rPr>
              <w:t>4.2</w:t>
            </w:r>
            <w:r w:rsidR="003E6237">
              <w:rPr>
                <w:rFonts w:eastAsiaTheme="minorEastAsia"/>
                <w:noProof/>
                <w:lang w:eastAsia="cs-CZ"/>
              </w:rPr>
              <w:tab/>
            </w:r>
            <w:r w:rsidR="003E6237" w:rsidRPr="0090480F">
              <w:rPr>
                <w:rStyle w:val="Hypertextovodkaz"/>
                <w:noProof/>
              </w:rPr>
              <w:t>F.3 Transformace energetiky ve strukturálně postižených krajích, využití nových příležitostí</w:t>
            </w:r>
            <w:r w:rsidR="003E6237">
              <w:rPr>
                <w:noProof/>
                <w:webHidden/>
              </w:rPr>
              <w:tab/>
            </w:r>
            <w:r w:rsidR="003E6237">
              <w:rPr>
                <w:noProof/>
                <w:webHidden/>
              </w:rPr>
              <w:fldChar w:fldCharType="begin"/>
            </w:r>
            <w:r w:rsidR="003E6237">
              <w:rPr>
                <w:noProof/>
                <w:webHidden/>
              </w:rPr>
              <w:instrText xml:space="preserve"> PAGEREF _Toc175743066 \h </w:instrText>
            </w:r>
            <w:r w:rsidR="003E6237">
              <w:rPr>
                <w:noProof/>
                <w:webHidden/>
              </w:rPr>
            </w:r>
            <w:r w:rsidR="003E6237">
              <w:rPr>
                <w:noProof/>
                <w:webHidden/>
              </w:rPr>
              <w:fldChar w:fldCharType="separate"/>
            </w:r>
            <w:r w:rsidR="003E6237">
              <w:rPr>
                <w:noProof/>
                <w:webHidden/>
              </w:rPr>
              <w:t>27</w:t>
            </w:r>
            <w:r w:rsidR="003E6237">
              <w:rPr>
                <w:noProof/>
                <w:webHidden/>
              </w:rPr>
              <w:fldChar w:fldCharType="end"/>
            </w:r>
          </w:hyperlink>
        </w:p>
        <w:p w14:paraId="0358B04F" w14:textId="47F91CEF" w:rsidR="003E6237" w:rsidRDefault="00AC017F">
          <w:pPr>
            <w:pStyle w:val="Obsah3"/>
            <w:tabs>
              <w:tab w:val="left" w:pos="1320"/>
              <w:tab w:val="right" w:leader="dot" w:pos="9062"/>
            </w:tabs>
            <w:rPr>
              <w:rFonts w:eastAsiaTheme="minorEastAsia"/>
              <w:noProof/>
              <w:lang w:eastAsia="cs-CZ"/>
            </w:rPr>
          </w:pPr>
          <w:hyperlink w:anchor="_Toc175743067" w:history="1">
            <w:r w:rsidR="003E6237" w:rsidRPr="0090480F">
              <w:rPr>
                <w:rStyle w:val="Hypertextovodkaz"/>
                <w:noProof/>
              </w:rPr>
              <w:t>4.2.1</w:t>
            </w:r>
            <w:r w:rsidR="003E6237">
              <w:rPr>
                <w:rFonts w:eastAsiaTheme="minorEastAsia"/>
                <w:noProof/>
                <w:lang w:eastAsia="cs-CZ"/>
              </w:rPr>
              <w:tab/>
            </w:r>
            <w:r w:rsidR="003E6237" w:rsidRPr="0090480F">
              <w:rPr>
                <w:rStyle w:val="Hypertextovodkaz"/>
                <w:noProof/>
              </w:rPr>
              <w:t>VI.F.3.4 Vytvoření vhodných podmínek pro rozvoj projektů na využití geotermální energie nebo akumulace tepla/chladu</w:t>
            </w:r>
            <w:r w:rsidR="003E6237">
              <w:rPr>
                <w:noProof/>
                <w:webHidden/>
              </w:rPr>
              <w:tab/>
            </w:r>
            <w:r w:rsidR="003E6237">
              <w:rPr>
                <w:noProof/>
                <w:webHidden/>
              </w:rPr>
              <w:fldChar w:fldCharType="begin"/>
            </w:r>
            <w:r w:rsidR="003E6237">
              <w:rPr>
                <w:noProof/>
                <w:webHidden/>
              </w:rPr>
              <w:instrText xml:space="preserve"> PAGEREF _Toc175743067 \h </w:instrText>
            </w:r>
            <w:r w:rsidR="003E6237">
              <w:rPr>
                <w:noProof/>
                <w:webHidden/>
              </w:rPr>
            </w:r>
            <w:r w:rsidR="003E6237">
              <w:rPr>
                <w:noProof/>
                <w:webHidden/>
              </w:rPr>
              <w:fldChar w:fldCharType="separate"/>
            </w:r>
            <w:r w:rsidR="003E6237">
              <w:rPr>
                <w:noProof/>
                <w:webHidden/>
              </w:rPr>
              <w:t>27</w:t>
            </w:r>
            <w:r w:rsidR="003E6237">
              <w:rPr>
                <w:noProof/>
                <w:webHidden/>
              </w:rPr>
              <w:fldChar w:fldCharType="end"/>
            </w:r>
          </w:hyperlink>
        </w:p>
        <w:p w14:paraId="7C707633" w14:textId="5CAE4892" w:rsidR="003E6237" w:rsidRDefault="00AC017F">
          <w:pPr>
            <w:pStyle w:val="Obsah1"/>
            <w:rPr>
              <w:rFonts w:eastAsiaTheme="minorEastAsia"/>
              <w:b w:val="0"/>
              <w:noProof/>
              <w:lang w:eastAsia="cs-CZ"/>
            </w:rPr>
          </w:pPr>
          <w:hyperlink w:anchor="_Toc175743068" w:history="1">
            <w:r w:rsidR="003E6237" w:rsidRPr="0090480F">
              <w:rPr>
                <w:rStyle w:val="Hypertextovodkaz"/>
                <w:rFonts w:cs="Arial"/>
                <w:noProof/>
              </w:rPr>
              <w:t>5</w:t>
            </w:r>
            <w:r w:rsidR="003E6237">
              <w:rPr>
                <w:rFonts w:eastAsiaTheme="minorEastAsia"/>
                <w:b w:val="0"/>
                <w:noProof/>
                <w:lang w:eastAsia="cs-CZ"/>
              </w:rPr>
              <w:tab/>
            </w:r>
            <w:r w:rsidR="003E6237" w:rsidRPr="0090480F">
              <w:rPr>
                <w:rStyle w:val="Hypertextovodkaz"/>
                <w:rFonts w:cs="Arial"/>
                <w:noProof/>
              </w:rPr>
              <w:t>Pilíř G – Infrastruktura a veřejná správa</w:t>
            </w:r>
            <w:r w:rsidR="003E6237">
              <w:rPr>
                <w:noProof/>
                <w:webHidden/>
              </w:rPr>
              <w:tab/>
            </w:r>
            <w:r w:rsidR="003E6237">
              <w:rPr>
                <w:noProof/>
                <w:webHidden/>
              </w:rPr>
              <w:fldChar w:fldCharType="begin"/>
            </w:r>
            <w:r w:rsidR="003E6237">
              <w:rPr>
                <w:noProof/>
                <w:webHidden/>
              </w:rPr>
              <w:instrText xml:space="preserve"> PAGEREF _Toc175743068 \h </w:instrText>
            </w:r>
            <w:r w:rsidR="003E6237">
              <w:rPr>
                <w:noProof/>
                <w:webHidden/>
              </w:rPr>
            </w:r>
            <w:r w:rsidR="003E6237">
              <w:rPr>
                <w:noProof/>
                <w:webHidden/>
              </w:rPr>
              <w:fldChar w:fldCharType="separate"/>
            </w:r>
            <w:r w:rsidR="003E6237">
              <w:rPr>
                <w:noProof/>
                <w:webHidden/>
              </w:rPr>
              <w:t>32</w:t>
            </w:r>
            <w:r w:rsidR="003E6237">
              <w:rPr>
                <w:noProof/>
                <w:webHidden/>
              </w:rPr>
              <w:fldChar w:fldCharType="end"/>
            </w:r>
          </w:hyperlink>
        </w:p>
        <w:p w14:paraId="017388E1" w14:textId="5DCC006B" w:rsidR="003E6237" w:rsidRDefault="00AC017F">
          <w:pPr>
            <w:pStyle w:val="Obsah2"/>
            <w:tabs>
              <w:tab w:val="left" w:pos="880"/>
              <w:tab w:val="right" w:leader="dot" w:pos="9062"/>
            </w:tabs>
            <w:rPr>
              <w:rFonts w:eastAsiaTheme="minorEastAsia"/>
              <w:noProof/>
              <w:lang w:eastAsia="cs-CZ"/>
            </w:rPr>
          </w:pPr>
          <w:hyperlink w:anchor="_Toc175743069" w:history="1">
            <w:r w:rsidR="003E6237" w:rsidRPr="0090480F">
              <w:rPr>
                <w:rStyle w:val="Hypertextovodkaz"/>
                <w:noProof/>
              </w:rPr>
              <w:t>5.1</w:t>
            </w:r>
            <w:r w:rsidR="003E6237">
              <w:rPr>
                <w:rFonts w:eastAsiaTheme="minorEastAsia"/>
                <w:noProof/>
                <w:lang w:eastAsia="cs-CZ"/>
              </w:rPr>
              <w:tab/>
            </w:r>
            <w:r w:rsidR="003E6237" w:rsidRPr="0090480F">
              <w:rPr>
                <w:rStyle w:val="Hypertextovodkaz"/>
                <w:noProof/>
              </w:rPr>
              <w:t>G.1 Dopravně propojit území tam, kde dochází k signifikantní bariéře pro rozvoj a růst</w:t>
            </w:r>
            <w:r w:rsidR="003E6237">
              <w:rPr>
                <w:noProof/>
                <w:webHidden/>
              </w:rPr>
              <w:tab/>
            </w:r>
            <w:r w:rsidR="003E6237">
              <w:rPr>
                <w:noProof/>
                <w:webHidden/>
              </w:rPr>
              <w:fldChar w:fldCharType="begin"/>
            </w:r>
            <w:r w:rsidR="003E6237">
              <w:rPr>
                <w:noProof/>
                <w:webHidden/>
              </w:rPr>
              <w:instrText xml:space="preserve"> PAGEREF _Toc175743069 \h </w:instrText>
            </w:r>
            <w:r w:rsidR="003E6237">
              <w:rPr>
                <w:noProof/>
                <w:webHidden/>
              </w:rPr>
            </w:r>
            <w:r w:rsidR="003E6237">
              <w:rPr>
                <w:noProof/>
                <w:webHidden/>
              </w:rPr>
              <w:fldChar w:fldCharType="separate"/>
            </w:r>
            <w:r w:rsidR="003E6237">
              <w:rPr>
                <w:noProof/>
                <w:webHidden/>
              </w:rPr>
              <w:t>32</w:t>
            </w:r>
            <w:r w:rsidR="003E6237">
              <w:rPr>
                <w:noProof/>
                <w:webHidden/>
              </w:rPr>
              <w:fldChar w:fldCharType="end"/>
            </w:r>
          </w:hyperlink>
        </w:p>
        <w:p w14:paraId="4856C713" w14:textId="682C315E" w:rsidR="003E6237" w:rsidRDefault="00AC017F">
          <w:pPr>
            <w:pStyle w:val="Obsah3"/>
            <w:tabs>
              <w:tab w:val="left" w:pos="1320"/>
              <w:tab w:val="right" w:leader="dot" w:pos="9062"/>
            </w:tabs>
            <w:rPr>
              <w:rFonts w:eastAsiaTheme="minorEastAsia"/>
              <w:noProof/>
              <w:lang w:eastAsia="cs-CZ"/>
            </w:rPr>
          </w:pPr>
          <w:hyperlink w:anchor="_Toc175743070" w:history="1">
            <w:r w:rsidR="003E6237" w:rsidRPr="0090480F">
              <w:rPr>
                <w:rStyle w:val="Hypertextovodkaz"/>
                <w:noProof/>
              </w:rPr>
              <w:t>5.1.1</w:t>
            </w:r>
            <w:r w:rsidR="003E6237">
              <w:rPr>
                <w:rFonts w:eastAsiaTheme="minorEastAsia"/>
                <w:noProof/>
                <w:lang w:eastAsia="cs-CZ"/>
              </w:rPr>
              <w:tab/>
            </w:r>
            <w:r w:rsidR="003E6237" w:rsidRPr="0090480F">
              <w:rPr>
                <w:rStyle w:val="Hypertextovodkaz"/>
                <w:noProof/>
              </w:rPr>
              <w:t>VI.G.1.1 Dopravní napojení strategického významu ve strukturálně postižených regionech</w:t>
            </w:r>
            <w:r w:rsidR="003E6237">
              <w:rPr>
                <w:noProof/>
                <w:webHidden/>
              </w:rPr>
              <w:tab/>
            </w:r>
            <w:r w:rsidR="003E6237">
              <w:rPr>
                <w:noProof/>
                <w:webHidden/>
              </w:rPr>
              <w:fldChar w:fldCharType="begin"/>
            </w:r>
            <w:r w:rsidR="003E6237">
              <w:rPr>
                <w:noProof/>
                <w:webHidden/>
              </w:rPr>
              <w:instrText xml:space="preserve"> PAGEREF _Toc175743070 \h </w:instrText>
            </w:r>
            <w:r w:rsidR="003E6237">
              <w:rPr>
                <w:noProof/>
                <w:webHidden/>
              </w:rPr>
            </w:r>
            <w:r w:rsidR="003E6237">
              <w:rPr>
                <w:noProof/>
                <w:webHidden/>
              </w:rPr>
              <w:fldChar w:fldCharType="separate"/>
            </w:r>
            <w:r w:rsidR="003E6237">
              <w:rPr>
                <w:noProof/>
                <w:webHidden/>
              </w:rPr>
              <w:t>32</w:t>
            </w:r>
            <w:r w:rsidR="003E6237">
              <w:rPr>
                <w:noProof/>
                <w:webHidden/>
              </w:rPr>
              <w:fldChar w:fldCharType="end"/>
            </w:r>
          </w:hyperlink>
        </w:p>
        <w:p w14:paraId="44200B9B" w14:textId="162B5EBE" w:rsidR="003E6237" w:rsidRDefault="00AC017F">
          <w:pPr>
            <w:pStyle w:val="Obsah1"/>
            <w:rPr>
              <w:rFonts w:eastAsiaTheme="minorEastAsia"/>
              <w:b w:val="0"/>
              <w:noProof/>
              <w:lang w:eastAsia="cs-CZ"/>
            </w:rPr>
          </w:pPr>
          <w:hyperlink w:anchor="_Toc175743071" w:history="1">
            <w:r w:rsidR="003E6237" w:rsidRPr="0090480F">
              <w:rPr>
                <w:rStyle w:val="Hypertextovodkaz"/>
                <w:rFonts w:cs="Arial"/>
                <w:noProof/>
              </w:rPr>
              <w:t>Příloha D: Hlavní rozvojové projekty a podpůrné projekty krajů</w:t>
            </w:r>
            <w:r w:rsidR="003E6237">
              <w:rPr>
                <w:noProof/>
                <w:webHidden/>
              </w:rPr>
              <w:tab/>
            </w:r>
            <w:r w:rsidR="003E6237">
              <w:rPr>
                <w:noProof/>
                <w:webHidden/>
              </w:rPr>
              <w:fldChar w:fldCharType="begin"/>
            </w:r>
            <w:r w:rsidR="003E6237">
              <w:rPr>
                <w:noProof/>
                <w:webHidden/>
              </w:rPr>
              <w:instrText xml:space="preserve"> PAGEREF _Toc175743071 \h </w:instrText>
            </w:r>
            <w:r w:rsidR="003E6237">
              <w:rPr>
                <w:noProof/>
                <w:webHidden/>
              </w:rPr>
            </w:r>
            <w:r w:rsidR="003E6237">
              <w:rPr>
                <w:noProof/>
                <w:webHidden/>
              </w:rPr>
              <w:fldChar w:fldCharType="separate"/>
            </w:r>
            <w:r w:rsidR="003E6237">
              <w:rPr>
                <w:noProof/>
                <w:webHidden/>
              </w:rPr>
              <w:t>34</w:t>
            </w:r>
            <w:r w:rsidR="003E6237">
              <w:rPr>
                <w:noProof/>
                <w:webHidden/>
              </w:rPr>
              <w:fldChar w:fldCharType="end"/>
            </w:r>
          </w:hyperlink>
        </w:p>
        <w:p w14:paraId="1C6A073D" w14:textId="473218FF" w:rsidR="003E6237" w:rsidRDefault="00AC017F">
          <w:pPr>
            <w:pStyle w:val="Obsah2"/>
            <w:tabs>
              <w:tab w:val="right" w:leader="dot" w:pos="9062"/>
            </w:tabs>
            <w:rPr>
              <w:rFonts w:eastAsiaTheme="minorEastAsia"/>
              <w:noProof/>
              <w:lang w:eastAsia="cs-CZ"/>
            </w:rPr>
          </w:pPr>
          <w:hyperlink w:anchor="_Toc175743072" w:history="1">
            <w:r w:rsidR="003E6237" w:rsidRPr="0090480F">
              <w:rPr>
                <w:rStyle w:val="Hypertextovodkaz"/>
                <w:rFonts w:eastAsia="Times New Roman" w:cs="Arial"/>
                <w:noProof/>
                <w:lang w:eastAsia="cs-CZ"/>
              </w:rPr>
              <w:t>Ústecký kraj</w:t>
            </w:r>
            <w:r w:rsidR="003E6237">
              <w:rPr>
                <w:noProof/>
                <w:webHidden/>
              </w:rPr>
              <w:tab/>
            </w:r>
            <w:r w:rsidR="003E6237">
              <w:rPr>
                <w:noProof/>
                <w:webHidden/>
              </w:rPr>
              <w:fldChar w:fldCharType="begin"/>
            </w:r>
            <w:r w:rsidR="003E6237">
              <w:rPr>
                <w:noProof/>
                <w:webHidden/>
              </w:rPr>
              <w:instrText xml:space="preserve"> PAGEREF _Toc175743072 \h </w:instrText>
            </w:r>
            <w:r w:rsidR="003E6237">
              <w:rPr>
                <w:noProof/>
                <w:webHidden/>
              </w:rPr>
            </w:r>
            <w:r w:rsidR="003E6237">
              <w:rPr>
                <w:noProof/>
                <w:webHidden/>
              </w:rPr>
              <w:fldChar w:fldCharType="separate"/>
            </w:r>
            <w:r w:rsidR="003E6237">
              <w:rPr>
                <w:noProof/>
                <w:webHidden/>
              </w:rPr>
              <w:t>34</w:t>
            </w:r>
            <w:r w:rsidR="003E6237">
              <w:rPr>
                <w:noProof/>
                <w:webHidden/>
              </w:rPr>
              <w:fldChar w:fldCharType="end"/>
            </w:r>
          </w:hyperlink>
        </w:p>
        <w:p w14:paraId="2AA45F0A" w14:textId="1151FF5C" w:rsidR="003E6237" w:rsidRDefault="00AC017F">
          <w:pPr>
            <w:pStyle w:val="Obsah2"/>
            <w:tabs>
              <w:tab w:val="right" w:leader="dot" w:pos="9062"/>
            </w:tabs>
            <w:rPr>
              <w:rFonts w:eastAsiaTheme="minorEastAsia"/>
              <w:noProof/>
              <w:lang w:eastAsia="cs-CZ"/>
            </w:rPr>
          </w:pPr>
          <w:hyperlink w:anchor="_Toc175743073" w:history="1">
            <w:r w:rsidR="003E6237" w:rsidRPr="0090480F">
              <w:rPr>
                <w:rStyle w:val="Hypertextovodkaz"/>
                <w:rFonts w:eastAsia="Times New Roman" w:cs="Arial"/>
                <w:noProof/>
                <w:lang w:eastAsia="cs-CZ"/>
              </w:rPr>
              <w:t>Moravskoslezský kraj</w:t>
            </w:r>
            <w:r w:rsidR="003E6237">
              <w:rPr>
                <w:noProof/>
                <w:webHidden/>
              </w:rPr>
              <w:tab/>
            </w:r>
            <w:r w:rsidR="003E6237">
              <w:rPr>
                <w:noProof/>
                <w:webHidden/>
              </w:rPr>
              <w:fldChar w:fldCharType="begin"/>
            </w:r>
            <w:r w:rsidR="003E6237">
              <w:rPr>
                <w:noProof/>
                <w:webHidden/>
              </w:rPr>
              <w:instrText xml:space="preserve"> PAGEREF _Toc175743073 \h </w:instrText>
            </w:r>
            <w:r w:rsidR="003E6237">
              <w:rPr>
                <w:noProof/>
                <w:webHidden/>
              </w:rPr>
            </w:r>
            <w:r w:rsidR="003E6237">
              <w:rPr>
                <w:noProof/>
                <w:webHidden/>
              </w:rPr>
              <w:fldChar w:fldCharType="separate"/>
            </w:r>
            <w:r w:rsidR="003E6237">
              <w:rPr>
                <w:noProof/>
                <w:webHidden/>
              </w:rPr>
              <w:t>45</w:t>
            </w:r>
            <w:r w:rsidR="003E6237">
              <w:rPr>
                <w:noProof/>
                <w:webHidden/>
              </w:rPr>
              <w:fldChar w:fldCharType="end"/>
            </w:r>
          </w:hyperlink>
        </w:p>
        <w:p w14:paraId="7EDEDF17" w14:textId="5BCB1493" w:rsidR="003E6237" w:rsidRDefault="00AC017F">
          <w:pPr>
            <w:pStyle w:val="Obsah2"/>
            <w:tabs>
              <w:tab w:val="right" w:leader="dot" w:pos="9062"/>
            </w:tabs>
            <w:rPr>
              <w:rFonts w:eastAsiaTheme="minorEastAsia"/>
              <w:noProof/>
              <w:lang w:eastAsia="cs-CZ"/>
            </w:rPr>
          </w:pPr>
          <w:hyperlink w:anchor="_Toc175743074" w:history="1">
            <w:r w:rsidR="003E6237" w:rsidRPr="0090480F">
              <w:rPr>
                <w:rStyle w:val="Hypertextovodkaz"/>
                <w:rFonts w:eastAsia="Times New Roman" w:cs="Arial"/>
                <w:noProof/>
                <w:lang w:eastAsia="cs-CZ"/>
              </w:rPr>
              <w:t>Karlovarský kraj</w:t>
            </w:r>
            <w:r w:rsidR="003E6237">
              <w:rPr>
                <w:noProof/>
                <w:webHidden/>
              </w:rPr>
              <w:tab/>
            </w:r>
            <w:r w:rsidR="003E6237">
              <w:rPr>
                <w:noProof/>
                <w:webHidden/>
              </w:rPr>
              <w:fldChar w:fldCharType="begin"/>
            </w:r>
            <w:r w:rsidR="003E6237">
              <w:rPr>
                <w:noProof/>
                <w:webHidden/>
              </w:rPr>
              <w:instrText xml:space="preserve"> PAGEREF _Toc175743074 \h </w:instrText>
            </w:r>
            <w:r w:rsidR="003E6237">
              <w:rPr>
                <w:noProof/>
                <w:webHidden/>
              </w:rPr>
            </w:r>
            <w:r w:rsidR="003E6237">
              <w:rPr>
                <w:noProof/>
                <w:webHidden/>
              </w:rPr>
              <w:fldChar w:fldCharType="separate"/>
            </w:r>
            <w:r w:rsidR="003E6237">
              <w:rPr>
                <w:noProof/>
                <w:webHidden/>
              </w:rPr>
              <w:t>58</w:t>
            </w:r>
            <w:r w:rsidR="003E6237">
              <w:rPr>
                <w:noProof/>
                <w:webHidden/>
              </w:rPr>
              <w:fldChar w:fldCharType="end"/>
            </w:r>
          </w:hyperlink>
        </w:p>
        <w:p w14:paraId="1B7FB1BF" w14:textId="47217B1A" w:rsidR="00820454" w:rsidRPr="0017795C" w:rsidRDefault="002A78AA" w:rsidP="00820454">
          <w:pPr>
            <w:rPr>
              <w:rFonts w:cs="Arial"/>
            </w:rPr>
          </w:pPr>
          <w:r w:rsidRPr="00DF6076">
            <w:rPr>
              <w:rFonts w:cs="Arial"/>
              <w:bCs/>
              <w:sz w:val="22"/>
            </w:rPr>
            <w:fldChar w:fldCharType="end"/>
          </w:r>
        </w:p>
      </w:sdtContent>
    </w:sdt>
    <w:p w14:paraId="0CD2C016" w14:textId="77777777" w:rsidR="00820454" w:rsidRPr="0017795C" w:rsidRDefault="00820454" w:rsidP="00820454">
      <w:pPr>
        <w:rPr>
          <w:rFonts w:cs="Arial"/>
        </w:rPr>
      </w:pPr>
    </w:p>
    <w:p w14:paraId="78B47A18" w14:textId="77777777" w:rsidR="002A78AA" w:rsidRPr="0017795C" w:rsidRDefault="002A78AA">
      <w:pPr>
        <w:rPr>
          <w:rFonts w:eastAsiaTheme="majorEastAsia" w:cs="Arial"/>
          <w:color w:val="2E74B5" w:themeColor="accent1" w:themeShade="BF"/>
          <w:sz w:val="32"/>
          <w:szCs w:val="32"/>
        </w:rPr>
      </w:pPr>
      <w:r w:rsidRPr="0017795C">
        <w:rPr>
          <w:rFonts w:cs="Arial"/>
        </w:rPr>
        <w:br w:type="page"/>
      </w:r>
    </w:p>
    <w:p w14:paraId="0FBA2855" w14:textId="173B81BD" w:rsidR="00452578" w:rsidRPr="000D5895" w:rsidRDefault="002A78AA" w:rsidP="000D5895">
      <w:pPr>
        <w:pStyle w:val="Nadpis1"/>
        <w:numPr>
          <w:ilvl w:val="0"/>
          <w:numId w:val="0"/>
        </w:numPr>
        <w:rPr>
          <w:rFonts w:cs="Arial"/>
          <w:color w:val="4472C4" w:themeColor="accent5"/>
        </w:rPr>
      </w:pPr>
      <w:bookmarkStart w:id="1" w:name="_Toc175743025"/>
      <w:r w:rsidRPr="000D5895">
        <w:rPr>
          <w:rFonts w:cs="Arial"/>
          <w:color w:val="4472C4" w:themeColor="accent5"/>
        </w:rPr>
        <w:lastRenderedPageBreak/>
        <w:t>Seznam zkratek</w:t>
      </w:r>
      <w:bookmarkEnd w:id="1"/>
    </w:p>
    <w:tbl>
      <w:tblPr>
        <w:tblW w:w="9072" w:type="dxa"/>
        <w:tblCellMar>
          <w:left w:w="70" w:type="dxa"/>
          <w:right w:w="70" w:type="dxa"/>
        </w:tblCellMar>
        <w:tblLook w:val="04A0" w:firstRow="1" w:lastRow="0" w:firstColumn="1" w:lastColumn="0" w:noHBand="0" w:noVBand="1"/>
      </w:tblPr>
      <w:tblGrid>
        <w:gridCol w:w="993"/>
        <w:gridCol w:w="8079"/>
      </w:tblGrid>
      <w:tr w:rsidR="00EB2110" w:rsidRPr="0017795C" w14:paraId="181F2D32" w14:textId="77777777" w:rsidTr="12255D97">
        <w:trPr>
          <w:trHeight w:val="260"/>
        </w:trPr>
        <w:tc>
          <w:tcPr>
            <w:tcW w:w="993" w:type="dxa"/>
            <w:tcBorders>
              <w:top w:val="nil"/>
              <w:left w:val="nil"/>
              <w:bottom w:val="nil"/>
              <w:right w:val="nil"/>
            </w:tcBorders>
            <w:shd w:val="clear" w:color="auto" w:fill="auto"/>
            <w:noWrap/>
            <w:vAlign w:val="bottom"/>
            <w:hideMark/>
          </w:tcPr>
          <w:p w14:paraId="1A1EAA7C" w14:textId="77777777" w:rsidR="00EB2110" w:rsidRPr="0017795C" w:rsidRDefault="00EB2110" w:rsidP="00EB2110">
            <w:pPr>
              <w:spacing w:after="0" w:line="240" w:lineRule="auto"/>
              <w:rPr>
                <w:rFonts w:eastAsia="Times New Roman" w:cs="Arial"/>
                <w:b/>
                <w:bCs/>
                <w:color w:val="000000"/>
                <w:sz w:val="22"/>
                <w:lang w:eastAsia="cs-CZ"/>
              </w:rPr>
            </w:pPr>
            <w:r w:rsidRPr="0017795C">
              <w:rPr>
                <w:rFonts w:eastAsia="Times New Roman" w:cs="Arial"/>
                <w:b/>
                <w:bCs/>
                <w:color w:val="000000"/>
                <w:sz w:val="22"/>
                <w:lang w:eastAsia="cs-CZ"/>
              </w:rPr>
              <w:t>Zkratka</w:t>
            </w:r>
          </w:p>
        </w:tc>
        <w:tc>
          <w:tcPr>
            <w:tcW w:w="8079" w:type="dxa"/>
            <w:tcBorders>
              <w:top w:val="nil"/>
              <w:left w:val="nil"/>
              <w:bottom w:val="nil"/>
              <w:right w:val="nil"/>
            </w:tcBorders>
            <w:shd w:val="clear" w:color="auto" w:fill="auto"/>
            <w:noWrap/>
            <w:vAlign w:val="bottom"/>
            <w:hideMark/>
          </w:tcPr>
          <w:p w14:paraId="257F1A42" w14:textId="77777777" w:rsidR="00EB2110" w:rsidRPr="0017795C" w:rsidRDefault="00EB2110" w:rsidP="00EB2110">
            <w:pPr>
              <w:spacing w:after="0" w:line="240" w:lineRule="auto"/>
              <w:rPr>
                <w:rFonts w:eastAsia="Times New Roman" w:cs="Arial"/>
                <w:b/>
                <w:bCs/>
                <w:color w:val="000000"/>
                <w:sz w:val="22"/>
                <w:lang w:eastAsia="cs-CZ"/>
              </w:rPr>
            </w:pPr>
            <w:r w:rsidRPr="0017795C">
              <w:rPr>
                <w:rFonts w:eastAsia="Times New Roman" w:cs="Arial"/>
                <w:b/>
                <w:bCs/>
                <w:color w:val="000000"/>
                <w:sz w:val="22"/>
                <w:lang w:eastAsia="cs-CZ"/>
              </w:rPr>
              <w:t>Význam</w:t>
            </w:r>
          </w:p>
        </w:tc>
      </w:tr>
      <w:tr w:rsidR="00EB2110" w:rsidRPr="0017795C" w14:paraId="6DF87BBC" w14:textId="77777777" w:rsidTr="12255D97">
        <w:trPr>
          <w:trHeight w:val="250"/>
        </w:trPr>
        <w:tc>
          <w:tcPr>
            <w:tcW w:w="993" w:type="dxa"/>
            <w:tcBorders>
              <w:top w:val="nil"/>
              <w:left w:val="nil"/>
              <w:bottom w:val="nil"/>
              <w:right w:val="nil"/>
            </w:tcBorders>
            <w:shd w:val="clear" w:color="auto" w:fill="auto"/>
            <w:noWrap/>
            <w:vAlign w:val="bottom"/>
            <w:hideMark/>
          </w:tcPr>
          <w:p w14:paraId="7F159B1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AP</w:t>
            </w:r>
          </w:p>
        </w:tc>
        <w:tc>
          <w:tcPr>
            <w:tcW w:w="8079" w:type="dxa"/>
            <w:tcBorders>
              <w:top w:val="nil"/>
              <w:left w:val="nil"/>
              <w:bottom w:val="nil"/>
              <w:right w:val="nil"/>
            </w:tcBorders>
            <w:shd w:val="clear" w:color="auto" w:fill="auto"/>
            <w:noWrap/>
            <w:vAlign w:val="bottom"/>
            <w:hideMark/>
          </w:tcPr>
          <w:p w14:paraId="7AECEAC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Akční plán</w:t>
            </w:r>
          </w:p>
        </w:tc>
      </w:tr>
      <w:tr w:rsidR="00285137" w:rsidRPr="0017795C" w14:paraId="1AAB804B" w14:textId="77777777" w:rsidTr="12255D97">
        <w:trPr>
          <w:trHeight w:val="250"/>
        </w:trPr>
        <w:tc>
          <w:tcPr>
            <w:tcW w:w="993" w:type="dxa"/>
            <w:tcBorders>
              <w:top w:val="nil"/>
              <w:left w:val="nil"/>
              <w:bottom w:val="nil"/>
              <w:right w:val="nil"/>
            </w:tcBorders>
            <w:shd w:val="clear" w:color="auto" w:fill="auto"/>
            <w:noWrap/>
            <w:vAlign w:val="bottom"/>
          </w:tcPr>
          <w:p w14:paraId="1D418378" w14:textId="72707DD3" w:rsidR="00285137" w:rsidRPr="0017795C" w:rsidRDefault="00285137" w:rsidP="00EB2110">
            <w:pPr>
              <w:spacing w:after="0" w:line="240" w:lineRule="auto"/>
              <w:rPr>
                <w:rFonts w:eastAsia="Times New Roman" w:cs="Arial"/>
                <w:color w:val="000000"/>
                <w:sz w:val="22"/>
                <w:lang w:eastAsia="cs-CZ"/>
              </w:rPr>
            </w:pPr>
            <w:r>
              <w:rPr>
                <w:rFonts w:eastAsia="Times New Roman" w:cs="Arial"/>
                <w:color w:val="000000"/>
                <w:sz w:val="22"/>
                <w:lang w:eastAsia="cs-CZ"/>
              </w:rPr>
              <w:t>API</w:t>
            </w:r>
          </w:p>
        </w:tc>
        <w:tc>
          <w:tcPr>
            <w:tcW w:w="8079" w:type="dxa"/>
            <w:tcBorders>
              <w:top w:val="nil"/>
              <w:left w:val="nil"/>
              <w:bottom w:val="nil"/>
              <w:right w:val="nil"/>
            </w:tcBorders>
            <w:shd w:val="clear" w:color="auto" w:fill="auto"/>
            <w:noWrap/>
            <w:vAlign w:val="bottom"/>
          </w:tcPr>
          <w:p w14:paraId="755D62FD" w14:textId="72B42C36" w:rsidR="00285137" w:rsidRPr="0017795C" w:rsidRDefault="00285137" w:rsidP="00EB2110">
            <w:pPr>
              <w:spacing w:after="0" w:line="240" w:lineRule="auto"/>
              <w:rPr>
                <w:rFonts w:eastAsia="Times New Roman" w:cs="Arial"/>
                <w:color w:val="000000"/>
                <w:sz w:val="22"/>
                <w:lang w:eastAsia="cs-CZ"/>
              </w:rPr>
            </w:pPr>
            <w:r>
              <w:rPr>
                <w:rFonts w:eastAsia="Times New Roman" w:cs="Arial"/>
                <w:color w:val="000000"/>
                <w:sz w:val="22"/>
                <w:lang w:eastAsia="cs-CZ"/>
              </w:rPr>
              <w:t>Agentura pro Podnikání a Inovace</w:t>
            </w:r>
          </w:p>
        </w:tc>
      </w:tr>
      <w:tr w:rsidR="00B62D3E" w:rsidRPr="0017795C" w14:paraId="77FACE7D" w14:textId="77777777" w:rsidTr="12255D97">
        <w:trPr>
          <w:trHeight w:val="250"/>
        </w:trPr>
        <w:tc>
          <w:tcPr>
            <w:tcW w:w="993" w:type="dxa"/>
            <w:tcBorders>
              <w:top w:val="nil"/>
              <w:left w:val="nil"/>
              <w:bottom w:val="nil"/>
              <w:right w:val="nil"/>
            </w:tcBorders>
            <w:shd w:val="clear" w:color="auto" w:fill="auto"/>
            <w:noWrap/>
            <w:vAlign w:val="bottom"/>
          </w:tcPr>
          <w:p w14:paraId="121FE7F1" w14:textId="77777777" w:rsidR="00B62D3E"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CEET</w:t>
            </w:r>
          </w:p>
          <w:p w14:paraId="1AC99880" w14:textId="4683B25B" w:rsidR="009E5C8D" w:rsidRDefault="009E5C8D" w:rsidP="00EB2110">
            <w:pPr>
              <w:spacing w:after="0" w:line="240" w:lineRule="auto"/>
              <w:rPr>
                <w:rFonts w:eastAsia="Times New Roman" w:cs="Arial"/>
                <w:color w:val="000000"/>
                <w:sz w:val="22"/>
                <w:lang w:eastAsia="cs-CZ"/>
              </w:rPr>
            </w:pPr>
            <w:r>
              <w:rPr>
                <w:rFonts w:eastAsia="Times New Roman" w:cs="Arial"/>
                <w:color w:val="000000"/>
                <w:sz w:val="22"/>
                <w:lang w:eastAsia="cs-CZ"/>
              </w:rPr>
              <w:t>CRiT</w:t>
            </w:r>
          </w:p>
        </w:tc>
        <w:tc>
          <w:tcPr>
            <w:tcW w:w="8079" w:type="dxa"/>
            <w:tcBorders>
              <w:top w:val="nil"/>
              <w:left w:val="nil"/>
              <w:bottom w:val="nil"/>
              <w:right w:val="nil"/>
            </w:tcBorders>
            <w:shd w:val="clear" w:color="auto" w:fill="auto"/>
            <w:noWrap/>
            <w:vAlign w:val="bottom"/>
          </w:tcPr>
          <w:p w14:paraId="1298140A" w14:textId="77777777" w:rsidR="00B62D3E"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Centrum energetických a enviromentálních technologií</w:t>
            </w:r>
          </w:p>
          <w:p w14:paraId="42EC22AB" w14:textId="163AD123" w:rsidR="009E5C8D" w:rsidRDefault="009E5C8D" w:rsidP="00EB2110">
            <w:pPr>
              <w:spacing w:after="0" w:line="240" w:lineRule="auto"/>
              <w:rPr>
                <w:rFonts w:eastAsia="Times New Roman" w:cs="Arial"/>
                <w:color w:val="000000"/>
                <w:sz w:val="22"/>
                <w:lang w:eastAsia="cs-CZ"/>
              </w:rPr>
            </w:pPr>
            <w:r>
              <w:rPr>
                <w:rFonts w:eastAsia="Times New Roman" w:cs="Arial"/>
                <w:color w:val="000000"/>
                <w:sz w:val="22"/>
                <w:lang w:eastAsia="cs-CZ"/>
              </w:rPr>
              <w:t>Coal regions in transition Initiative</w:t>
            </w:r>
          </w:p>
        </w:tc>
      </w:tr>
      <w:tr w:rsidR="00EB2110" w:rsidRPr="0017795C" w14:paraId="6F772DB6" w14:textId="77777777" w:rsidTr="12255D97">
        <w:trPr>
          <w:trHeight w:val="250"/>
        </w:trPr>
        <w:tc>
          <w:tcPr>
            <w:tcW w:w="993" w:type="dxa"/>
            <w:shd w:val="clear" w:color="auto" w:fill="auto"/>
            <w:noWrap/>
            <w:vAlign w:val="bottom"/>
            <w:hideMark/>
          </w:tcPr>
          <w:p w14:paraId="41ECCA3A"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ČR</w:t>
            </w:r>
          </w:p>
        </w:tc>
        <w:tc>
          <w:tcPr>
            <w:tcW w:w="8079" w:type="dxa"/>
            <w:shd w:val="clear" w:color="auto" w:fill="auto"/>
            <w:noWrap/>
            <w:vAlign w:val="bottom"/>
            <w:hideMark/>
          </w:tcPr>
          <w:p w14:paraId="3416F30E"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Česká republika</w:t>
            </w:r>
          </w:p>
        </w:tc>
      </w:tr>
      <w:tr w:rsidR="00EB2110" w:rsidRPr="0017795C" w14:paraId="0D8636E2" w14:textId="77777777" w:rsidTr="12255D97">
        <w:trPr>
          <w:trHeight w:val="250"/>
        </w:trPr>
        <w:tc>
          <w:tcPr>
            <w:tcW w:w="993" w:type="dxa"/>
            <w:tcBorders>
              <w:top w:val="nil"/>
              <w:left w:val="nil"/>
              <w:bottom w:val="nil"/>
              <w:right w:val="nil"/>
            </w:tcBorders>
            <w:shd w:val="clear" w:color="auto" w:fill="auto"/>
            <w:noWrap/>
            <w:vAlign w:val="bottom"/>
            <w:hideMark/>
          </w:tcPr>
          <w:p w14:paraId="3AF63CEF" w14:textId="77777777" w:rsidR="00EB2110" w:rsidRPr="0017795C" w:rsidRDefault="59124AEA" w:rsidP="0BF363E0">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ČVUT</w:t>
            </w:r>
          </w:p>
        </w:tc>
        <w:tc>
          <w:tcPr>
            <w:tcW w:w="8079" w:type="dxa"/>
            <w:tcBorders>
              <w:top w:val="nil"/>
              <w:left w:val="nil"/>
              <w:bottom w:val="nil"/>
              <w:right w:val="nil"/>
            </w:tcBorders>
            <w:shd w:val="clear" w:color="auto" w:fill="auto"/>
            <w:noWrap/>
            <w:vAlign w:val="bottom"/>
            <w:hideMark/>
          </w:tcPr>
          <w:p w14:paraId="138C6EE0" w14:textId="77777777" w:rsidR="00EB2110" w:rsidRPr="0017795C" w:rsidRDefault="7DBEA022" w:rsidP="12255D97">
            <w:pPr>
              <w:spacing w:after="0" w:line="240" w:lineRule="auto"/>
              <w:rPr>
                <w:rFonts w:eastAsia="Times New Roman" w:cs="Arial"/>
                <w:color w:val="000000" w:themeColor="text1"/>
                <w:sz w:val="22"/>
                <w:lang w:eastAsia="cs-CZ"/>
              </w:rPr>
            </w:pPr>
            <w:r w:rsidRPr="12255D97">
              <w:rPr>
                <w:rFonts w:eastAsia="Times New Roman" w:cs="Arial"/>
                <w:color w:val="000000" w:themeColor="text1"/>
                <w:sz w:val="22"/>
                <w:lang w:eastAsia="cs-CZ"/>
              </w:rPr>
              <w:t>České vysoké učení technické</w:t>
            </w:r>
          </w:p>
        </w:tc>
      </w:tr>
      <w:tr w:rsidR="00EB2110" w:rsidRPr="0017795C" w14:paraId="02A8171E" w14:textId="77777777" w:rsidTr="12255D97">
        <w:trPr>
          <w:trHeight w:val="250"/>
        </w:trPr>
        <w:tc>
          <w:tcPr>
            <w:tcW w:w="993" w:type="dxa"/>
            <w:tcBorders>
              <w:top w:val="nil"/>
              <w:left w:val="nil"/>
              <w:bottom w:val="nil"/>
              <w:right w:val="nil"/>
            </w:tcBorders>
            <w:shd w:val="clear" w:color="auto" w:fill="auto"/>
            <w:noWrap/>
            <w:vAlign w:val="bottom"/>
            <w:hideMark/>
          </w:tcPr>
          <w:p w14:paraId="70F435B8" w14:textId="77777777" w:rsidR="00EB2110" w:rsidRPr="0017795C" w:rsidRDefault="00EB2110" w:rsidP="00EB2110">
            <w:pPr>
              <w:spacing w:after="0" w:line="240" w:lineRule="auto"/>
              <w:rPr>
                <w:rFonts w:eastAsia="Times New Roman" w:cs="Arial"/>
                <w:sz w:val="22"/>
                <w:lang w:eastAsia="cs-CZ"/>
              </w:rPr>
            </w:pPr>
            <w:r w:rsidRPr="0017795C">
              <w:rPr>
                <w:rFonts w:eastAsia="Times New Roman" w:cs="Arial"/>
                <w:sz w:val="22"/>
                <w:lang w:eastAsia="cs-CZ"/>
              </w:rPr>
              <w:t>DEP</w:t>
            </w:r>
          </w:p>
        </w:tc>
        <w:tc>
          <w:tcPr>
            <w:tcW w:w="8079" w:type="dxa"/>
            <w:tcBorders>
              <w:top w:val="nil"/>
              <w:left w:val="nil"/>
              <w:bottom w:val="nil"/>
              <w:right w:val="nil"/>
            </w:tcBorders>
            <w:shd w:val="clear" w:color="auto" w:fill="auto"/>
            <w:noWrap/>
            <w:vAlign w:val="bottom"/>
            <w:hideMark/>
          </w:tcPr>
          <w:p w14:paraId="63BDC7D5" w14:textId="77777777" w:rsidR="00EB2110" w:rsidRPr="008C0420"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Digital Europe Programme</w:t>
            </w:r>
          </w:p>
        </w:tc>
      </w:tr>
      <w:tr w:rsidR="00EB2110" w:rsidRPr="0017795C" w14:paraId="5DB63657" w14:textId="77777777" w:rsidTr="12255D97">
        <w:trPr>
          <w:trHeight w:val="250"/>
        </w:trPr>
        <w:tc>
          <w:tcPr>
            <w:tcW w:w="993" w:type="dxa"/>
            <w:tcBorders>
              <w:top w:val="nil"/>
              <w:left w:val="nil"/>
              <w:bottom w:val="nil"/>
              <w:right w:val="nil"/>
            </w:tcBorders>
            <w:shd w:val="clear" w:color="auto" w:fill="auto"/>
            <w:noWrap/>
            <w:vAlign w:val="bottom"/>
            <w:hideMark/>
          </w:tcPr>
          <w:p w14:paraId="058B7A1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DOV</w:t>
            </w:r>
          </w:p>
        </w:tc>
        <w:tc>
          <w:tcPr>
            <w:tcW w:w="8079" w:type="dxa"/>
            <w:tcBorders>
              <w:top w:val="nil"/>
              <w:left w:val="nil"/>
              <w:bottom w:val="nil"/>
              <w:right w:val="nil"/>
            </w:tcBorders>
            <w:shd w:val="clear" w:color="auto" w:fill="auto"/>
            <w:noWrap/>
            <w:vAlign w:val="bottom"/>
            <w:hideMark/>
          </w:tcPr>
          <w:p w14:paraId="52D8AEC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Dolní oblast Vítkovice</w:t>
            </w:r>
          </w:p>
        </w:tc>
      </w:tr>
      <w:tr w:rsidR="00EB2110" w:rsidRPr="0017795C" w14:paraId="3EB76871" w14:textId="77777777" w:rsidTr="12255D97">
        <w:trPr>
          <w:trHeight w:val="250"/>
        </w:trPr>
        <w:tc>
          <w:tcPr>
            <w:tcW w:w="993" w:type="dxa"/>
            <w:tcBorders>
              <w:top w:val="nil"/>
              <w:left w:val="nil"/>
              <w:bottom w:val="nil"/>
              <w:right w:val="nil"/>
            </w:tcBorders>
            <w:shd w:val="clear" w:color="auto" w:fill="auto"/>
            <w:noWrap/>
            <w:vAlign w:val="bottom"/>
            <w:hideMark/>
          </w:tcPr>
          <w:p w14:paraId="324F96A6" w14:textId="5D86EFEF" w:rsidR="00E513AF"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DT</w:t>
            </w:r>
          </w:p>
        </w:tc>
        <w:tc>
          <w:tcPr>
            <w:tcW w:w="8079" w:type="dxa"/>
            <w:tcBorders>
              <w:top w:val="nil"/>
              <w:left w:val="nil"/>
              <w:bottom w:val="nil"/>
              <w:right w:val="nil"/>
            </w:tcBorders>
            <w:shd w:val="clear" w:color="auto" w:fill="auto"/>
            <w:noWrap/>
            <w:vAlign w:val="bottom"/>
            <w:hideMark/>
          </w:tcPr>
          <w:p w14:paraId="32533F7D" w14:textId="03E360F6" w:rsidR="00E513AF" w:rsidRPr="002823DF" w:rsidRDefault="75C667BD" w:rsidP="12255D97">
            <w:pPr>
              <w:spacing w:after="0" w:line="240" w:lineRule="auto"/>
              <w:rPr>
                <w:rFonts w:eastAsiaTheme="minorEastAsia"/>
                <w:color w:val="000000" w:themeColor="text1"/>
                <w:sz w:val="22"/>
                <w:lang w:eastAsia="cs-CZ"/>
              </w:rPr>
            </w:pPr>
            <w:r w:rsidRPr="008C0420">
              <w:rPr>
                <w:rFonts w:eastAsiaTheme="minorEastAsia"/>
                <w:color w:val="000000" w:themeColor="text1"/>
                <w:sz w:val="22"/>
                <w:lang w:eastAsia="cs-CZ"/>
              </w:rPr>
              <w:t>Dotační titul</w:t>
            </w:r>
          </w:p>
        </w:tc>
      </w:tr>
      <w:tr w:rsidR="00EB2110" w:rsidRPr="0017795C" w14:paraId="649765E7" w14:textId="77777777" w:rsidTr="12255D97">
        <w:trPr>
          <w:trHeight w:val="250"/>
        </w:trPr>
        <w:tc>
          <w:tcPr>
            <w:tcW w:w="993" w:type="dxa"/>
            <w:tcBorders>
              <w:top w:val="nil"/>
              <w:left w:val="nil"/>
              <w:bottom w:val="nil"/>
              <w:right w:val="nil"/>
            </w:tcBorders>
            <w:shd w:val="clear" w:color="auto" w:fill="auto"/>
            <w:noWrap/>
            <w:vAlign w:val="bottom"/>
            <w:hideMark/>
          </w:tcPr>
          <w:p w14:paraId="56EDB817"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ERDF</w:t>
            </w:r>
          </w:p>
        </w:tc>
        <w:tc>
          <w:tcPr>
            <w:tcW w:w="8079" w:type="dxa"/>
            <w:tcBorders>
              <w:top w:val="nil"/>
              <w:left w:val="nil"/>
              <w:bottom w:val="nil"/>
              <w:right w:val="nil"/>
            </w:tcBorders>
            <w:shd w:val="clear" w:color="auto" w:fill="auto"/>
            <w:noWrap/>
            <w:vAlign w:val="bottom"/>
            <w:hideMark/>
          </w:tcPr>
          <w:p w14:paraId="78BC22FE"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Evropský fond pro regionální rozvoj</w:t>
            </w:r>
          </w:p>
        </w:tc>
      </w:tr>
      <w:tr w:rsidR="00EB2110" w:rsidRPr="0017795C" w14:paraId="4B5C4A8D" w14:textId="77777777" w:rsidTr="12255D97">
        <w:trPr>
          <w:trHeight w:val="250"/>
        </w:trPr>
        <w:tc>
          <w:tcPr>
            <w:tcW w:w="993" w:type="dxa"/>
            <w:tcBorders>
              <w:top w:val="nil"/>
              <w:left w:val="nil"/>
              <w:bottom w:val="nil"/>
              <w:right w:val="nil"/>
            </w:tcBorders>
            <w:shd w:val="clear" w:color="auto" w:fill="auto"/>
            <w:noWrap/>
            <w:vAlign w:val="bottom"/>
            <w:hideMark/>
          </w:tcPr>
          <w:p w14:paraId="1A4EA133"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EU</w:t>
            </w:r>
          </w:p>
        </w:tc>
        <w:tc>
          <w:tcPr>
            <w:tcW w:w="8079" w:type="dxa"/>
            <w:tcBorders>
              <w:top w:val="nil"/>
              <w:left w:val="nil"/>
              <w:bottom w:val="nil"/>
              <w:right w:val="nil"/>
            </w:tcBorders>
            <w:shd w:val="clear" w:color="auto" w:fill="auto"/>
            <w:noWrap/>
            <w:vAlign w:val="bottom"/>
            <w:hideMark/>
          </w:tcPr>
          <w:p w14:paraId="558ADD6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Evropská unie</w:t>
            </w:r>
          </w:p>
        </w:tc>
      </w:tr>
      <w:tr w:rsidR="00285137" w:rsidRPr="0017795C" w14:paraId="4AA3D226" w14:textId="77777777" w:rsidTr="12255D97">
        <w:trPr>
          <w:trHeight w:val="250"/>
        </w:trPr>
        <w:tc>
          <w:tcPr>
            <w:tcW w:w="993" w:type="dxa"/>
            <w:tcBorders>
              <w:top w:val="nil"/>
              <w:left w:val="nil"/>
              <w:bottom w:val="nil"/>
              <w:right w:val="nil"/>
            </w:tcBorders>
            <w:shd w:val="clear" w:color="auto" w:fill="auto"/>
            <w:noWrap/>
            <w:vAlign w:val="bottom"/>
          </w:tcPr>
          <w:p w14:paraId="199A7A23" w14:textId="6C30CC7B" w:rsidR="00285137" w:rsidRPr="0017795C" w:rsidRDefault="00285137" w:rsidP="00EB2110">
            <w:pPr>
              <w:spacing w:after="0" w:line="240" w:lineRule="auto"/>
              <w:rPr>
                <w:rFonts w:eastAsia="Times New Roman" w:cs="Arial"/>
                <w:color w:val="000000"/>
                <w:sz w:val="22"/>
                <w:lang w:eastAsia="cs-CZ"/>
              </w:rPr>
            </w:pPr>
            <w:r>
              <w:rPr>
                <w:rFonts w:eastAsia="Times New Roman" w:cs="Arial"/>
                <w:color w:val="000000"/>
                <w:sz w:val="22"/>
                <w:lang w:eastAsia="cs-CZ"/>
              </w:rPr>
              <w:t>FN</w:t>
            </w:r>
          </w:p>
        </w:tc>
        <w:tc>
          <w:tcPr>
            <w:tcW w:w="8079" w:type="dxa"/>
            <w:tcBorders>
              <w:top w:val="nil"/>
              <w:left w:val="nil"/>
              <w:bottom w:val="nil"/>
              <w:right w:val="nil"/>
            </w:tcBorders>
            <w:shd w:val="clear" w:color="auto" w:fill="auto"/>
            <w:noWrap/>
            <w:vAlign w:val="bottom"/>
          </w:tcPr>
          <w:p w14:paraId="564C5D4A" w14:textId="336CD762" w:rsidR="00285137" w:rsidRPr="0017795C" w:rsidRDefault="00285137" w:rsidP="00EB2110">
            <w:pPr>
              <w:spacing w:after="0" w:line="240" w:lineRule="auto"/>
              <w:rPr>
                <w:rFonts w:eastAsia="Times New Roman" w:cs="Arial"/>
                <w:color w:val="000000"/>
                <w:sz w:val="22"/>
                <w:lang w:eastAsia="cs-CZ"/>
              </w:rPr>
            </w:pPr>
            <w:r>
              <w:rPr>
                <w:rFonts w:eastAsia="Times New Roman" w:cs="Arial"/>
                <w:color w:val="000000"/>
                <w:sz w:val="22"/>
                <w:lang w:eastAsia="cs-CZ"/>
              </w:rPr>
              <w:t xml:space="preserve">Finanční nástroj </w:t>
            </w:r>
          </w:p>
        </w:tc>
      </w:tr>
      <w:tr w:rsidR="00BC689B" w:rsidRPr="0017795C" w14:paraId="7E68E717" w14:textId="77777777" w:rsidTr="12255D97">
        <w:trPr>
          <w:trHeight w:val="250"/>
        </w:trPr>
        <w:tc>
          <w:tcPr>
            <w:tcW w:w="993" w:type="dxa"/>
            <w:tcBorders>
              <w:top w:val="nil"/>
              <w:left w:val="nil"/>
              <w:bottom w:val="nil"/>
              <w:right w:val="nil"/>
            </w:tcBorders>
            <w:shd w:val="clear" w:color="auto" w:fill="auto"/>
            <w:noWrap/>
            <w:vAlign w:val="bottom"/>
          </w:tcPr>
          <w:p w14:paraId="47CF80B6" w14:textId="48788FB1" w:rsidR="00BC689B" w:rsidRPr="0017795C" w:rsidRDefault="00BC689B"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FST</w:t>
            </w:r>
          </w:p>
        </w:tc>
        <w:tc>
          <w:tcPr>
            <w:tcW w:w="8079" w:type="dxa"/>
            <w:tcBorders>
              <w:top w:val="nil"/>
              <w:left w:val="nil"/>
              <w:bottom w:val="nil"/>
              <w:right w:val="nil"/>
            </w:tcBorders>
            <w:shd w:val="clear" w:color="auto" w:fill="auto"/>
            <w:noWrap/>
            <w:vAlign w:val="bottom"/>
          </w:tcPr>
          <w:p w14:paraId="7E899011" w14:textId="1A859312" w:rsidR="00BC689B" w:rsidRPr="0017795C" w:rsidRDefault="00BC689B"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Fond pro spravedlivou transformaci</w:t>
            </w:r>
          </w:p>
        </w:tc>
      </w:tr>
      <w:tr w:rsidR="00EB2110" w:rsidRPr="0017795C" w14:paraId="1E153AAD" w14:textId="77777777" w:rsidTr="12255D97">
        <w:trPr>
          <w:trHeight w:val="250"/>
        </w:trPr>
        <w:tc>
          <w:tcPr>
            <w:tcW w:w="993" w:type="dxa"/>
            <w:tcBorders>
              <w:top w:val="nil"/>
              <w:left w:val="nil"/>
              <w:bottom w:val="nil"/>
              <w:right w:val="nil"/>
            </w:tcBorders>
            <w:shd w:val="clear" w:color="auto" w:fill="auto"/>
            <w:noWrap/>
            <w:vAlign w:val="bottom"/>
            <w:hideMark/>
          </w:tcPr>
          <w:p w14:paraId="0F9DEF32" w14:textId="66A350F8" w:rsidR="00EB2110" w:rsidRPr="0017795C" w:rsidRDefault="00BB4DEF" w:rsidP="00EB2110">
            <w:pPr>
              <w:spacing w:after="0" w:line="240" w:lineRule="auto"/>
              <w:rPr>
                <w:rFonts w:eastAsia="Times New Roman" w:cs="Arial"/>
                <w:color w:val="000000"/>
                <w:sz w:val="22"/>
                <w:lang w:eastAsia="cs-CZ"/>
              </w:rPr>
            </w:pPr>
            <w:r>
              <w:rPr>
                <w:rFonts w:eastAsia="Times New Roman" w:cs="Arial"/>
                <w:color w:val="000000"/>
                <w:sz w:val="22"/>
                <w:lang w:eastAsia="cs-CZ"/>
              </w:rPr>
              <w:t>GA</w:t>
            </w:r>
            <w:r w:rsidR="00A86BCA">
              <w:rPr>
                <w:rFonts w:eastAsia="Times New Roman" w:cs="Arial"/>
                <w:color w:val="000000"/>
                <w:sz w:val="22"/>
                <w:lang w:eastAsia="cs-CZ"/>
              </w:rPr>
              <w:t xml:space="preserve"> </w:t>
            </w:r>
            <w:r>
              <w:rPr>
                <w:rFonts w:eastAsia="Times New Roman" w:cs="Arial"/>
                <w:color w:val="000000"/>
                <w:sz w:val="22"/>
                <w:lang w:eastAsia="cs-CZ"/>
              </w:rPr>
              <w:t>ČR</w:t>
            </w:r>
          </w:p>
        </w:tc>
        <w:tc>
          <w:tcPr>
            <w:tcW w:w="8079" w:type="dxa"/>
            <w:tcBorders>
              <w:top w:val="nil"/>
              <w:left w:val="nil"/>
              <w:bottom w:val="nil"/>
              <w:right w:val="nil"/>
            </w:tcBorders>
            <w:shd w:val="clear" w:color="auto" w:fill="auto"/>
            <w:noWrap/>
            <w:vAlign w:val="bottom"/>
            <w:hideMark/>
          </w:tcPr>
          <w:p w14:paraId="38EE03D1" w14:textId="2BC2391E" w:rsidR="00EB2110" w:rsidRPr="0017795C" w:rsidRDefault="00BB4DEF" w:rsidP="00EB2110">
            <w:pPr>
              <w:spacing w:after="0" w:line="240" w:lineRule="auto"/>
              <w:rPr>
                <w:rFonts w:eastAsia="Times New Roman" w:cs="Arial"/>
                <w:color w:val="000000"/>
                <w:sz w:val="22"/>
                <w:lang w:eastAsia="cs-CZ"/>
              </w:rPr>
            </w:pPr>
            <w:r>
              <w:rPr>
                <w:rFonts w:eastAsia="Times New Roman" w:cs="Arial"/>
                <w:color w:val="000000"/>
                <w:sz w:val="22"/>
                <w:lang w:eastAsia="cs-CZ"/>
              </w:rPr>
              <w:t xml:space="preserve">Grantová agentura </w:t>
            </w:r>
            <w:r w:rsidR="00246C2E">
              <w:rPr>
                <w:rFonts w:eastAsia="Times New Roman" w:cs="Arial"/>
                <w:color w:val="000000"/>
                <w:sz w:val="22"/>
                <w:lang w:eastAsia="cs-CZ"/>
              </w:rPr>
              <w:t>České republiky</w:t>
            </w:r>
          </w:p>
        </w:tc>
      </w:tr>
      <w:tr w:rsidR="00285137" w:rsidRPr="0017795C" w14:paraId="4A8D7737" w14:textId="77777777" w:rsidTr="12255D97">
        <w:trPr>
          <w:trHeight w:val="250"/>
        </w:trPr>
        <w:tc>
          <w:tcPr>
            <w:tcW w:w="993" w:type="dxa"/>
            <w:tcBorders>
              <w:top w:val="nil"/>
              <w:left w:val="nil"/>
              <w:bottom w:val="nil"/>
              <w:right w:val="nil"/>
            </w:tcBorders>
            <w:shd w:val="clear" w:color="auto" w:fill="auto"/>
            <w:noWrap/>
            <w:vAlign w:val="bottom"/>
          </w:tcPr>
          <w:p w14:paraId="04FDE30B" w14:textId="18BAF3E9" w:rsidR="00285137" w:rsidRDefault="00285137" w:rsidP="00EB2110">
            <w:pPr>
              <w:spacing w:after="0" w:line="240" w:lineRule="auto"/>
              <w:rPr>
                <w:rFonts w:eastAsia="Times New Roman" w:cs="Arial"/>
                <w:color w:val="000000"/>
                <w:sz w:val="22"/>
                <w:lang w:eastAsia="cs-CZ"/>
              </w:rPr>
            </w:pPr>
            <w:r>
              <w:rPr>
                <w:rFonts w:eastAsia="Times New Roman" w:cs="Arial"/>
                <w:color w:val="000000"/>
                <w:sz w:val="22"/>
                <w:lang w:eastAsia="cs-CZ"/>
              </w:rPr>
              <w:t>HDP</w:t>
            </w:r>
          </w:p>
        </w:tc>
        <w:tc>
          <w:tcPr>
            <w:tcW w:w="8079" w:type="dxa"/>
            <w:tcBorders>
              <w:top w:val="nil"/>
              <w:left w:val="nil"/>
              <w:bottom w:val="nil"/>
              <w:right w:val="nil"/>
            </w:tcBorders>
            <w:shd w:val="clear" w:color="auto" w:fill="auto"/>
            <w:noWrap/>
            <w:vAlign w:val="bottom"/>
          </w:tcPr>
          <w:p w14:paraId="1AFBD7AB" w14:textId="4FC27EB4" w:rsidR="00285137" w:rsidRDefault="00285137" w:rsidP="00EB2110">
            <w:pPr>
              <w:spacing w:after="0" w:line="240" w:lineRule="auto"/>
              <w:rPr>
                <w:rFonts w:eastAsia="Times New Roman" w:cs="Arial"/>
                <w:color w:val="000000"/>
                <w:sz w:val="22"/>
                <w:lang w:eastAsia="cs-CZ"/>
              </w:rPr>
            </w:pPr>
            <w:r>
              <w:rPr>
                <w:rFonts w:eastAsia="Times New Roman" w:cs="Arial"/>
                <w:color w:val="000000"/>
                <w:sz w:val="22"/>
                <w:lang w:eastAsia="cs-CZ"/>
              </w:rPr>
              <w:t>Hrubý domácí produkt</w:t>
            </w:r>
          </w:p>
        </w:tc>
      </w:tr>
      <w:tr w:rsidR="0BF363E0" w14:paraId="2CBA3E2C" w14:textId="77777777" w:rsidTr="12255D97">
        <w:trPr>
          <w:trHeight w:val="250"/>
        </w:trPr>
        <w:tc>
          <w:tcPr>
            <w:tcW w:w="993" w:type="dxa"/>
            <w:tcBorders>
              <w:top w:val="nil"/>
              <w:left w:val="nil"/>
              <w:bottom w:val="nil"/>
              <w:right w:val="nil"/>
            </w:tcBorders>
            <w:shd w:val="clear" w:color="auto" w:fill="auto"/>
            <w:noWrap/>
            <w:vAlign w:val="bottom"/>
            <w:hideMark/>
          </w:tcPr>
          <w:p w14:paraId="74D25325" w14:textId="14A20E45" w:rsidR="0BF363E0" w:rsidRPr="00784827" w:rsidRDefault="00246C2E" w:rsidP="00784827">
            <w:pPr>
              <w:spacing w:after="0" w:line="240" w:lineRule="auto"/>
              <w:rPr>
                <w:rFonts w:eastAsia="Times New Roman" w:cs="Arial"/>
                <w:color w:val="000000"/>
                <w:sz w:val="22"/>
                <w:lang w:eastAsia="cs-CZ"/>
              </w:rPr>
            </w:pPr>
            <w:r w:rsidRPr="00784827">
              <w:rPr>
                <w:rFonts w:eastAsia="Times New Roman" w:cs="Arial"/>
                <w:color w:val="000000"/>
                <w:sz w:val="22"/>
                <w:lang w:eastAsia="cs-CZ"/>
              </w:rPr>
              <w:t>HW</w:t>
            </w:r>
          </w:p>
        </w:tc>
        <w:tc>
          <w:tcPr>
            <w:tcW w:w="8079" w:type="dxa"/>
            <w:tcBorders>
              <w:top w:val="nil"/>
              <w:left w:val="nil"/>
              <w:bottom w:val="nil"/>
              <w:right w:val="nil"/>
            </w:tcBorders>
            <w:shd w:val="clear" w:color="auto" w:fill="auto"/>
            <w:noWrap/>
            <w:vAlign w:val="bottom"/>
            <w:hideMark/>
          </w:tcPr>
          <w:p w14:paraId="199E89F8" w14:textId="5669B3F5" w:rsidR="0BF363E0" w:rsidRPr="00784827" w:rsidRDefault="00246C2E" w:rsidP="00784827">
            <w:pPr>
              <w:spacing w:after="0" w:line="240" w:lineRule="auto"/>
              <w:rPr>
                <w:rFonts w:eastAsia="Times New Roman" w:cs="Arial"/>
                <w:color w:val="000000"/>
                <w:sz w:val="22"/>
                <w:lang w:eastAsia="cs-CZ"/>
              </w:rPr>
            </w:pPr>
            <w:r w:rsidRPr="00784827">
              <w:rPr>
                <w:rFonts w:eastAsia="Times New Roman" w:cs="Arial"/>
                <w:color w:val="000000"/>
                <w:sz w:val="22"/>
                <w:lang w:eastAsia="cs-CZ"/>
              </w:rPr>
              <w:t>Hardware</w:t>
            </w:r>
          </w:p>
        </w:tc>
      </w:tr>
      <w:tr w:rsidR="00EB2110" w:rsidRPr="0017795C" w14:paraId="5C1AD387" w14:textId="77777777" w:rsidTr="12255D97">
        <w:trPr>
          <w:trHeight w:val="250"/>
        </w:trPr>
        <w:tc>
          <w:tcPr>
            <w:tcW w:w="993" w:type="dxa"/>
            <w:tcBorders>
              <w:top w:val="nil"/>
              <w:left w:val="nil"/>
              <w:bottom w:val="nil"/>
              <w:right w:val="nil"/>
            </w:tcBorders>
            <w:shd w:val="clear" w:color="auto" w:fill="auto"/>
            <w:noWrap/>
            <w:vAlign w:val="bottom"/>
            <w:hideMark/>
          </w:tcPr>
          <w:p w14:paraId="2F78B8D8"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ICT</w:t>
            </w:r>
          </w:p>
        </w:tc>
        <w:tc>
          <w:tcPr>
            <w:tcW w:w="8079" w:type="dxa"/>
            <w:tcBorders>
              <w:top w:val="nil"/>
              <w:left w:val="nil"/>
              <w:bottom w:val="nil"/>
              <w:right w:val="nil"/>
            </w:tcBorders>
            <w:shd w:val="clear" w:color="auto" w:fill="auto"/>
            <w:noWrap/>
            <w:vAlign w:val="bottom"/>
            <w:hideMark/>
          </w:tcPr>
          <w:p w14:paraId="45580093"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Informační a komunikační technologie</w:t>
            </w:r>
          </w:p>
        </w:tc>
      </w:tr>
      <w:tr w:rsidR="00EB2110" w:rsidRPr="0017795C" w14:paraId="5538BCB4" w14:textId="77777777" w:rsidTr="12255D97">
        <w:trPr>
          <w:trHeight w:val="250"/>
        </w:trPr>
        <w:tc>
          <w:tcPr>
            <w:tcW w:w="993" w:type="dxa"/>
            <w:tcBorders>
              <w:top w:val="nil"/>
              <w:left w:val="nil"/>
              <w:bottom w:val="nil"/>
              <w:right w:val="nil"/>
            </w:tcBorders>
            <w:shd w:val="clear" w:color="auto" w:fill="auto"/>
            <w:noWrap/>
            <w:vAlign w:val="bottom"/>
            <w:hideMark/>
          </w:tcPr>
          <w:p w14:paraId="0C31D0D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IROP</w:t>
            </w:r>
          </w:p>
        </w:tc>
        <w:tc>
          <w:tcPr>
            <w:tcW w:w="8079" w:type="dxa"/>
            <w:tcBorders>
              <w:top w:val="nil"/>
              <w:left w:val="nil"/>
              <w:bottom w:val="nil"/>
              <w:right w:val="nil"/>
            </w:tcBorders>
            <w:shd w:val="clear" w:color="auto" w:fill="auto"/>
            <w:noWrap/>
            <w:vAlign w:val="bottom"/>
            <w:hideMark/>
          </w:tcPr>
          <w:p w14:paraId="6E267A8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Integrovaný regionální operační program</w:t>
            </w:r>
          </w:p>
        </w:tc>
      </w:tr>
      <w:tr w:rsidR="00EB2110" w:rsidRPr="0017795C" w14:paraId="611C74EC" w14:textId="77777777" w:rsidTr="12255D97">
        <w:trPr>
          <w:trHeight w:val="250"/>
        </w:trPr>
        <w:tc>
          <w:tcPr>
            <w:tcW w:w="993" w:type="dxa"/>
            <w:tcBorders>
              <w:top w:val="nil"/>
              <w:left w:val="nil"/>
              <w:bottom w:val="nil"/>
              <w:right w:val="nil"/>
            </w:tcBorders>
            <w:shd w:val="clear" w:color="auto" w:fill="auto"/>
            <w:noWrap/>
            <w:vAlign w:val="bottom"/>
            <w:hideMark/>
          </w:tcPr>
          <w:p w14:paraId="7CAC2FD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IT</w:t>
            </w:r>
          </w:p>
        </w:tc>
        <w:tc>
          <w:tcPr>
            <w:tcW w:w="8079" w:type="dxa"/>
            <w:tcBorders>
              <w:top w:val="nil"/>
              <w:left w:val="nil"/>
              <w:bottom w:val="nil"/>
              <w:right w:val="nil"/>
            </w:tcBorders>
            <w:shd w:val="clear" w:color="auto" w:fill="auto"/>
            <w:noWrap/>
            <w:vAlign w:val="bottom"/>
            <w:hideMark/>
          </w:tcPr>
          <w:p w14:paraId="74B50F6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Informační technologie</w:t>
            </w:r>
          </w:p>
        </w:tc>
      </w:tr>
      <w:tr w:rsidR="00EB2110" w:rsidRPr="0017795C" w14:paraId="1BB2A1C0" w14:textId="77777777" w:rsidTr="12255D97">
        <w:trPr>
          <w:trHeight w:val="250"/>
        </w:trPr>
        <w:tc>
          <w:tcPr>
            <w:tcW w:w="993" w:type="dxa"/>
            <w:tcBorders>
              <w:top w:val="nil"/>
              <w:left w:val="nil"/>
              <w:bottom w:val="nil"/>
              <w:right w:val="nil"/>
            </w:tcBorders>
            <w:shd w:val="clear" w:color="auto" w:fill="auto"/>
            <w:noWrap/>
            <w:vAlign w:val="bottom"/>
            <w:hideMark/>
          </w:tcPr>
          <w:p w14:paraId="1BBE7CD8"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IZS</w:t>
            </w:r>
          </w:p>
        </w:tc>
        <w:tc>
          <w:tcPr>
            <w:tcW w:w="8079" w:type="dxa"/>
            <w:tcBorders>
              <w:top w:val="nil"/>
              <w:left w:val="nil"/>
              <w:bottom w:val="nil"/>
              <w:right w:val="nil"/>
            </w:tcBorders>
            <w:shd w:val="clear" w:color="auto" w:fill="auto"/>
            <w:noWrap/>
            <w:vAlign w:val="bottom"/>
            <w:hideMark/>
          </w:tcPr>
          <w:p w14:paraId="75C82EA7"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Integrovaný záchranný systém</w:t>
            </w:r>
          </w:p>
        </w:tc>
      </w:tr>
      <w:tr w:rsidR="00EB2110" w:rsidRPr="0017795C" w14:paraId="2AA63504" w14:textId="77777777" w:rsidTr="12255D97">
        <w:trPr>
          <w:trHeight w:val="250"/>
        </w:trPr>
        <w:tc>
          <w:tcPr>
            <w:tcW w:w="993" w:type="dxa"/>
            <w:tcBorders>
              <w:top w:val="nil"/>
              <w:left w:val="nil"/>
              <w:bottom w:val="nil"/>
              <w:right w:val="nil"/>
            </w:tcBorders>
            <w:shd w:val="clear" w:color="auto" w:fill="auto"/>
            <w:noWrap/>
            <w:vAlign w:val="bottom"/>
            <w:hideMark/>
          </w:tcPr>
          <w:p w14:paraId="3E79FE62"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KVK</w:t>
            </w:r>
          </w:p>
        </w:tc>
        <w:tc>
          <w:tcPr>
            <w:tcW w:w="8079" w:type="dxa"/>
            <w:tcBorders>
              <w:top w:val="nil"/>
              <w:left w:val="nil"/>
              <w:bottom w:val="nil"/>
              <w:right w:val="nil"/>
            </w:tcBorders>
            <w:shd w:val="clear" w:color="auto" w:fill="auto"/>
            <w:noWrap/>
            <w:vAlign w:val="bottom"/>
            <w:hideMark/>
          </w:tcPr>
          <w:p w14:paraId="6920CEB0"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Karlovarský kraj</w:t>
            </w:r>
          </w:p>
        </w:tc>
      </w:tr>
      <w:tr w:rsidR="00EB2110" w:rsidRPr="0017795C" w14:paraId="23EBB744" w14:textId="77777777" w:rsidTr="12255D97">
        <w:trPr>
          <w:trHeight w:val="250"/>
        </w:trPr>
        <w:tc>
          <w:tcPr>
            <w:tcW w:w="993" w:type="dxa"/>
            <w:tcBorders>
              <w:top w:val="nil"/>
              <w:left w:val="nil"/>
              <w:bottom w:val="nil"/>
              <w:right w:val="nil"/>
            </w:tcBorders>
            <w:shd w:val="clear" w:color="auto" w:fill="auto"/>
            <w:noWrap/>
            <w:vAlign w:val="bottom"/>
            <w:hideMark/>
          </w:tcPr>
          <w:p w14:paraId="454CB6B1"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MD</w:t>
            </w:r>
          </w:p>
        </w:tc>
        <w:tc>
          <w:tcPr>
            <w:tcW w:w="8079" w:type="dxa"/>
            <w:tcBorders>
              <w:top w:val="nil"/>
              <w:left w:val="nil"/>
              <w:bottom w:val="nil"/>
              <w:right w:val="nil"/>
            </w:tcBorders>
            <w:shd w:val="clear" w:color="auto" w:fill="auto"/>
            <w:noWrap/>
            <w:vAlign w:val="bottom"/>
            <w:hideMark/>
          </w:tcPr>
          <w:p w14:paraId="2B096EC8"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dopravy</w:t>
            </w:r>
          </w:p>
        </w:tc>
      </w:tr>
      <w:tr w:rsidR="00B62D3E" w:rsidRPr="0017795C" w14:paraId="0FD37AE5" w14:textId="77777777" w:rsidTr="12255D97">
        <w:trPr>
          <w:trHeight w:val="250"/>
        </w:trPr>
        <w:tc>
          <w:tcPr>
            <w:tcW w:w="993" w:type="dxa"/>
            <w:tcBorders>
              <w:top w:val="nil"/>
              <w:left w:val="nil"/>
              <w:bottom w:val="nil"/>
              <w:right w:val="nil"/>
            </w:tcBorders>
            <w:shd w:val="clear" w:color="auto" w:fill="auto"/>
            <w:noWrap/>
            <w:vAlign w:val="bottom"/>
          </w:tcPr>
          <w:p w14:paraId="1E5AD277" w14:textId="0B17C27A" w:rsidR="00B62D3E" w:rsidRPr="0017795C"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MK</w:t>
            </w:r>
          </w:p>
        </w:tc>
        <w:tc>
          <w:tcPr>
            <w:tcW w:w="8079" w:type="dxa"/>
            <w:tcBorders>
              <w:top w:val="nil"/>
              <w:left w:val="nil"/>
              <w:bottom w:val="nil"/>
              <w:right w:val="nil"/>
            </w:tcBorders>
            <w:shd w:val="clear" w:color="auto" w:fill="auto"/>
            <w:noWrap/>
            <w:vAlign w:val="bottom"/>
          </w:tcPr>
          <w:p w14:paraId="1D48E059" w14:textId="3B9603B8" w:rsidR="00B62D3E" w:rsidRPr="0017795C"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Ministerstvo kultury</w:t>
            </w:r>
          </w:p>
        </w:tc>
      </w:tr>
      <w:tr w:rsidR="00EB2110" w:rsidRPr="0017795C" w14:paraId="7C884F71" w14:textId="77777777" w:rsidTr="12255D97">
        <w:trPr>
          <w:trHeight w:val="250"/>
        </w:trPr>
        <w:tc>
          <w:tcPr>
            <w:tcW w:w="993" w:type="dxa"/>
            <w:tcBorders>
              <w:top w:val="nil"/>
              <w:left w:val="nil"/>
              <w:bottom w:val="nil"/>
              <w:right w:val="nil"/>
            </w:tcBorders>
            <w:shd w:val="clear" w:color="auto" w:fill="auto"/>
            <w:noWrap/>
            <w:vAlign w:val="bottom"/>
            <w:hideMark/>
          </w:tcPr>
          <w:p w14:paraId="24E25F8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MMR</w:t>
            </w:r>
          </w:p>
        </w:tc>
        <w:tc>
          <w:tcPr>
            <w:tcW w:w="8079" w:type="dxa"/>
            <w:tcBorders>
              <w:top w:val="nil"/>
              <w:left w:val="nil"/>
              <w:bottom w:val="nil"/>
              <w:right w:val="nil"/>
            </w:tcBorders>
            <w:shd w:val="clear" w:color="auto" w:fill="auto"/>
            <w:noWrap/>
            <w:vAlign w:val="bottom"/>
            <w:hideMark/>
          </w:tcPr>
          <w:p w14:paraId="1B7898BD"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pro místní rozvoj</w:t>
            </w:r>
          </w:p>
        </w:tc>
      </w:tr>
      <w:tr w:rsidR="00EB2110" w:rsidRPr="0017795C" w14:paraId="0A1A08FF" w14:textId="77777777" w:rsidTr="12255D97">
        <w:trPr>
          <w:trHeight w:val="250"/>
        </w:trPr>
        <w:tc>
          <w:tcPr>
            <w:tcW w:w="993" w:type="dxa"/>
            <w:tcBorders>
              <w:top w:val="nil"/>
              <w:left w:val="nil"/>
              <w:bottom w:val="nil"/>
              <w:right w:val="nil"/>
            </w:tcBorders>
            <w:shd w:val="clear" w:color="auto" w:fill="auto"/>
            <w:noWrap/>
            <w:vAlign w:val="bottom"/>
            <w:hideMark/>
          </w:tcPr>
          <w:p w14:paraId="145C988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MPO</w:t>
            </w:r>
          </w:p>
        </w:tc>
        <w:tc>
          <w:tcPr>
            <w:tcW w:w="8079" w:type="dxa"/>
            <w:tcBorders>
              <w:top w:val="nil"/>
              <w:left w:val="nil"/>
              <w:bottom w:val="nil"/>
              <w:right w:val="nil"/>
            </w:tcBorders>
            <w:shd w:val="clear" w:color="auto" w:fill="auto"/>
            <w:noWrap/>
            <w:vAlign w:val="bottom"/>
            <w:hideMark/>
          </w:tcPr>
          <w:p w14:paraId="3F53BA2C"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průmyslu a obchodu</w:t>
            </w:r>
          </w:p>
        </w:tc>
      </w:tr>
      <w:tr w:rsidR="00EB2110" w:rsidRPr="0017795C" w14:paraId="4A26C4B6" w14:textId="77777777" w:rsidTr="12255D97">
        <w:trPr>
          <w:trHeight w:val="250"/>
        </w:trPr>
        <w:tc>
          <w:tcPr>
            <w:tcW w:w="993" w:type="dxa"/>
            <w:tcBorders>
              <w:top w:val="nil"/>
              <w:left w:val="nil"/>
              <w:bottom w:val="nil"/>
              <w:right w:val="nil"/>
            </w:tcBorders>
            <w:shd w:val="clear" w:color="auto" w:fill="auto"/>
            <w:noWrap/>
            <w:vAlign w:val="bottom"/>
            <w:hideMark/>
          </w:tcPr>
          <w:p w14:paraId="07AB6BBF" w14:textId="77777777" w:rsidR="00EB2110"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MSK</w:t>
            </w:r>
          </w:p>
          <w:p w14:paraId="23D7DE67" w14:textId="76F75724" w:rsidR="009E5C8D" w:rsidRPr="0017795C" w:rsidRDefault="009E5C8D" w:rsidP="00EB2110">
            <w:pPr>
              <w:spacing w:after="0" w:line="240" w:lineRule="auto"/>
              <w:rPr>
                <w:rFonts w:eastAsia="Times New Roman" w:cs="Arial"/>
                <w:color w:val="000000"/>
                <w:sz w:val="22"/>
                <w:lang w:eastAsia="cs-CZ"/>
              </w:rPr>
            </w:pPr>
            <w:r>
              <w:rPr>
                <w:rFonts w:eastAsia="Times New Roman" w:cs="Arial"/>
                <w:color w:val="000000"/>
                <w:sz w:val="22"/>
                <w:lang w:eastAsia="cs-CZ"/>
              </w:rPr>
              <w:t>MSP</w:t>
            </w:r>
          </w:p>
        </w:tc>
        <w:tc>
          <w:tcPr>
            <w:tcW w:w="8079" w:type="dxa"/>
            <w:tcBorders>
              <w:top w:val="nil"/>
              <w:left w:val="nil"/>
              <w:bottom w:val="nil"/>
              <w:right w:val="nil"/>
            </w:tcBorders>
            <w:shd w:val="clear" w:color="auto" w:fill="auto"/>
            <w:noWrap/>
            <w:vAlign w:val="bottom"/>
            <w:hideMark/>
          </w:tcPr>
          <w:p w14:paraId="6B8FBA7E" w14:textId="77777777" w:rsidR="00EB2110"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Moravskoslezský kraj</w:t>
            </w:r>
          </w:p>
          <w:p w14:paraId="2B7BDF00" w14:textId="4791CE93" w:rsidR="009E5C8D" w:rsidRPr="0017795C" w:rsidRDefault="009E5C8D" w:rsidP="00EB2110">
            <w:pPr>
              <w:spacing w:after="0" w:line="240" w:lineRule="auto"/>
              <w:rPr>
                <w:rFonts w:eastAsia="Times New Roman" w:cs="Arial"/>
                <w:color w:val="000000"/>
                <w:sz w:val="22"/>
                <w:lang w:eastAsia="cs-CZ"/>
              </w:rPr>
            </w:pPr>
            <w:r>
              <w:rPr>
                <w:rFonts w:eastAsia="Times New Roman" w:cs="Arial"/>
                <w:color w:val="000000"/>
                <w:sz w:val="22"/>
                <w:lang w:eastAsia="cs-CZ"/>
              </w:rPr>
              <w:t>Malý a střední podnik</w:t>
            </w:r>
          </w:p>
        </w:tc>
      </w:tr>
      <w:tr w:rsidR="00961BAA" w:rsidRPr="0017795C" w14:paraId="45E2D8AC" w14:textId="77777777" w:rsidTr="12255D97">
        <w:trPr>
          <w:trHeight w:val="250"/>
        </w:trPr>
        <w:tc>
          <w:tcPr>
            <w:tcW w:w="993" w:type="dxa"/>
            <w:tcBorders>
              <w:top w:val="nil"/>
              <w:left w:val="nil"/>
              <w:bottom w:val="nil"/>
              <w:right w:val="nil"/>
            </w:tcBorders>
            <w:shd w:val="clear" w:color="auto" w:fill="auto"/>
            <w:noWrap/>
            <w:vAlign w:val="bottom"/>
          </w:tcPr>
          <w:p w14:paraId="61674520" w14:textId="5B791F43" w:rsidR="00961BAA" w:rsidRPr="0017795C" w:rsidRDefault="00961BAA"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MST</w:t>
            </w:r>
          </w:p>
        </w:tc>
        <w:tc>
          <w:tcPr>
            <w:tcW w:w="8079" w:type="dxa"/>
            <w:tcBorders>
              <w:top w:val="nil"/>
              <w:left w:val="nil"/>
              <w:bottom w:val="nil"/>
              <w:right w:val="nil"/>
            </w:tcBorders>
            <w:shd w:val="clear" w:color="auto" w:fill="auto"/>
            <w:noWrap/>
            <w:vAlign w:val="bottom"/>
          </w:tcPr>
          <w:p w14:paraId="51D3D017" w14:textId="153AA528" w:rsidR="00961BAA" w:rsidRPr="0017795C" w:rsidRDefault="00961BAA"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Mechanismus pro spravedlivou transformaci</w:t>
            </w:r>
          </w:p>
        </w:tc>
      </w:tr>
      <w:tr w:rsidR="00EB2110" w:rsidRPr="0017795C" w14:paraId="40190FCE" w14:textId="77777777" w:rsidTr="12255D97">
        <w:trPr>
          <w:trHeight w:val="250"/>
        </w:trPr>
        <w:tc>
          <w:tcPr>
            <w:tcW w:w="993" w:type="dxa"/>
            <w:tcBorders>
              <w:top w:val="nil"/>
              <w:left w:val="nil"/>
              <w:bottom w:val="nil"/>
              <w:right w:val="nil"/>
            </w:tcBorders>
            <w:shd w:val="clear" w:color="auto" w:fill="auto"/>
            <w:noWrap/>
            <w:vAlign w:val="bottom"/>
            <w:hideMark/>
          </w:tcPr>
          <w:p w14:paraId="24FA366A"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MŠMT</w:t>
            </w:r>
          </w:p>
        </w:tc>
        <w:tc>
          <w:tcPr>
            <w:tcW w:w="8079" w:type="dxa"/>
            <w:tcBorders>
              <w:top w:val="nil"/>
              <w:left w:val="nil"/>
              <w:bottom w:val="nil"/>
              <w:right w:val="nil"/>
            </w:tcBorders>
            <w:shd w:val="clear" w:color="auto" w:fill="auto"/>
            <w:noWrap/>
            <w:vAlign w:val="bottom"/>
            <w:hideMark/>
          </w:tcPr>
          <w:p w14:paraId="2E063B2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školství, mládeže a tělovýchovy</w:t>
            </w:r>
          </w:p>
        </w:tc>
      </w:tr>
      <w:tr w:rsidR="00EB2110" w:rsidRPr="0017795C" w14:paraId="78A477BC" w14:textId="77777777" w:rsidTr="12255D97">
        <w:trPr>
          <w:trHeight w:val="250"/>
        </w:trPr>
        <w:tc>
          <w:tcPr>
            <w:tcW w:w="993" w:type="dxa"/>
            <w:tcBorders>
              <w:top w:val="nil"/>
              <w:left w:val="nil"/>
              <w:bottom w:val="nil"/>
              <w:right w:val="nil"/>
            </w:tcBorders>
            <w:shd w:val="clear" w:color="auto" w:fill="auto"/>
            <w:noWrap/>
            <w:vAlign w:val="bottom"/>
            <w:hideMark/>
          </w:tcPr>
          <w:p w14:paraId="7EE83C64"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MŽP</w:t>
            </w:r>
          </w:p>
        </w:tc>
        <w:tc>
          <w:tcPr>
            <w:tcW w:w="8079" w:type="dxa"/>
            <w:tcBorders>
              <w:top w:val="nil"/>
              <w:left w:val="nil"/>
              <w:bottom w:val="nil"/>
              <w:right w:val="nil"/>
            </w:tcBorders>
            <w:shd w:val="clear" w:color="auto" w:fill="auto"/>
            <w:noWrap/>
            <w:vAlign w:val="bottom"/>
            <w:hideMark/>
          </w:tcPr>
          <w:p w14:paraId="2E61CA8E"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Ministerstvo životního prostředí</w:t>
            </w:r>
          </w:p>
        </w:tc>
      </w:tr>
      <w:tr w:rsidR="00B62D3E" w:rsidRPr="0017795C" w14:paraId="22E4EBC3" w14:textId="77777777" w:rsidTr="12255D97">
        <w:trPr>
          <w:trHeight w:val="250"/>
        </w:trPr>
        <w:tc>
          <w:tcPr>
            <w:tcW w:w="993" w:type="dxa"/>
            <w:tcBorders>
              <w:top w:val="nil"/>
              <w:left w:val="nil"/>
              <w:bottom w:val="nil"/>
              <w:right w:val="nil"/>
            </w:tcBorders>
            <w:shd w:val="clear" w:color="auto" w:fill="auto"/>
            <w:noWrap/>
            <w:vAlign w:val="bottom"/>
          </w:tcPr>
          <w:p w14:paraId="2F193E29" w14:textId="176F85AE" w:rsidR="00B62D3E" w:rsidRPr="0017795C"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NCE</w:t>
            </w:r>
          </w:p>
        </w:tc>
        <w:tc>
          <w:tcPr>
            <w:tcW w:w="8079" w:type="dxa"/>
            <w:tcBorders>
              <w:top w:val="nil"/>
              <w:left w:val="nil"/>
              <w:bottom w:val="nil"/>
              <w:right w:val="nil"/>
            </w:tcBorders>
            <w:shd w:val="clear" w:color="auto" w:fill="auto"/>
            <w:noWrap/>
            <w:vAlign w:val="bottom"/>
          </w:tcPr>
          <w:p w14:paraId="76728854" w14:textId="1409C565" w:rsidR="00B62D3E" w:rsidRPr="0017795C"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Národní centrum pro energetiku</w:t>
            </w:r>
          </w:p>
        </w:tc>
      </w:tr>
      <w:tr w:rsidR="00B62D3E" w:rsidRPr="0017795C" w14:paraId="0C9EEB5E" w14:textId="77777777" w:rsidTr="12255D97">
        <w:trPr>
          <w:trHeight w:val="250"/>
        </w:trPr>
        <w:tc>
          <w:tcPr>
            <w:tcW w:w="993" w:type="dxa"/>
            <w:tcBorders>
              <w:top w:val="nil"/>
              <w:left w:val="nil"/>
              <w:bottom w:val="nil"/>
              <w:right w:val="nil"/>
            </w:tcBorders>
            <w:shd w:val="clear" w:color="auto" w:fill="auto"/>
            <w:noWrap/>
            <w:vAlign w:val="bottom"/>
          </w:tcPr>
          <w:p w14:paraId="7B57BB2F" w14:textId="6CCDD841" w:rsidR="00B62D3E"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NPO</w:t>
            </w:r>
          </w:p>
        </w:tc>
        <w:tc>
          <w:tcPr>
            <w:tcW w:w="8079" w:type="dxa"/>
            <w:tcBorders>
              <w:top w:val="nil"/>
              <w:left w:val="nil"/>
              <w:bottom w:val="nil"/>
              <w:right w:val="nil"/>
            </w:tcBorders>
            <w:shd w:val="clear" w:color="auto" w:fill="auto"/>
            <w:noWrap/>
            <w:vAlign w:val="bottom"/>
          </w:tcPr>
          <w:p w14:paraId="6FB4F81A" w14:textId="788A9818" w:rsidR="00B62D3E" w:rsidRDefault="00B62D3E" w:rsidP="00EB2110">
            <w:pPr>
              <w:spacing w:after="0" w:line="240" w:lineRule="auto"/>
              <w:rPr>
                <w:rFonts w:eastAsia="Times New Roman" w:cs="Arial"/>
                <w:color w:val="000000"/>
                <w:sz w:val="22"/>
                <w:lang w:eastAsia="cs-CZ"/>
              </w:rPr>
            </w:pPr>
            <w:r>
              <w:rPr>
                <w:rFonts w:eastAsia="Times New Roman" w:cs="Arial"/>
                <w:color w:val="000000"/>
                <w:sz w:val="22"/>
                <w:lang w:eastAsia="cs-CZ"/>
              </w:rPr>
              <w:t>Národní plán obnovy</w:t>
            </w:r>
          </w:p>
        </w:tc>
      </w:tr>
      <w:tr w:rsidR="00EB2110" w:rsidRPr="0017795C" w14:paraId="4781FF0F" w14:textId="77777777" w:rsidTr="12255D97">
        <w:trPr>
          <w:trHeight w:val="250"/>
        </w:trPr>
        <w:tc>
          <w:tcPr>
            <w:tcW w:w="993" w:type="dxa"/>
            <w:tcBorders>
              <w:top w:val="nil"/>
              <w:left w:val="nil"/>
              <w:bottom w:val="nil"/>
              <w:right w:val="nil"/>
            </w:tcBorders>
            <w:shd w:val="clear" w:color="auto" w:fill="auto"/>
            <w:noWrap/>
            <w:vAlign w:val="bottom"/>
            <w:hideMark/>
          </w:tcPr>
          <w:p w14:paraId="6C928FBF"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OP</w:t>
            </w:r>
          </w:p>
        </w:tc>
        <w:tc>
          <w:tcPr>
            <w:tcW w:w="8079" w:type="dxa"/>
            <w:tcBorders>
              <w:top w:val="nil"/>
              <w:left w:val="nil"/>
              <w:bottom w:val="nil"/>
              <w:right w:val="nil"/>
            </w:tcBorders>
            <w:shd w:val="clear" w:color="auto" w:fill="auto"/>
            <w:noWrap/>
            <w:vAlign w:val="bottom"/>
            <w:hideMark/>
          </w:tcPr>
          <w:p w14:paraId="4DA17E95" w14:textId="77777777" w:rsidR="00EB2110" w:rsidRPr="0017795C" w:rsidRDefault="00EB2110" w:rsidP="00EB2110">
            <w:pPr>
              <w:spacing w:after="0" w:line="240" w:lineRule="auto"/>
              <w:rPr>
                <w:rFonts w:eastAsia="Times New Roman" w:cs="Arial"/>
                <w:color w:val="000000"/>
                <w:sz w:val="22"/>
                <w:lang w:eastAsia="cs-CZ"/>
              </w:rPr>
            </w:pPr>
            <w:r w:rsidRPr="0017795C">
              <w:rPr>
                <w:rFonts w:eastAsia="Times New Roman" w:cs="Arial"/>
                <w:color w:val="000000"/>
                <w:sz w:val="22"/>
                <w:lang w:eastAsia="cs-CZ"/>
              </w:rPr>
              <w:t>Operační program</w:t>
            </w:r>
          </w:p>
        </w:tc>
      </w:tr>
      <w:tr w:rsidR="00EB2110" w:rsidRPr="0017795C" w14:paraId="5FD71D74" w14:textId="77777777" w:rsidTr="12255D97">
        <w:trPr>
          <w:trHeight w:val="250"/>
        </w:trPr>
        <w:tc>
          <w:tcPr>
            <w:tcW w:w="993" w:type="dxa"/>
            <w:tcBorders>
              <w:top w:val="nil"/>
              <w:left w:val="nil"/>
              <w:bottom w:val="nil"/>
              <w:right w:val="nil"/>
            </w:tcBorders>
            <w:shd w:val="clear" w:color="auto" w:fill="auto"/>
            <w:noWrap/>
            <w:vAlign w:val="bottom"/>
            <w:hideMark/>
          </w:tcPr>
          <w:p w14:paraId="6122AFA0"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JAK</w:t>
            </w:r>
          </w:p>
        </w:tc>
        <w:tc>
          <w:tcPr>
            <w:tcW w:w="8079" w:type="dxa"/>
            <w:tcBorders>
              <w:top w:val="nil"/>
              <w:left w:val="nil"/>
              <w:bottom w:val="nil"/>
              <w:right w:val="nil"/>
            </w:tcBorders>
            <w:shd w:val="clear" w:color="auto" w:fill="auto"/>
            <w:noWrap/>
            <w:vAlign w:val="bottom"/>
            <w:hideMark/>
          </w:tcPr>
          <w:p w14:paraId="0AB86A6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Jan Amos Komenský</w:t>
            </w:r>
          </w:p>
        </w:tc>
      </w:tr>
      <w:tr w:rsidR="00EB2110" w:rsidRPr="0017795C" w14:paraId="45947253" w14:textId="77777777" w:rsidTr="12255D97">
        <w:trPr>
          <w:trHeight w:val="250"/>
        </w:trPr>
        <w:tc>
          <w:tcPr>
            <w:tcW w:w="993" w:type="dxa"/>
            <w:tcBorders>
              <w:top w:val="nil"/>
              <w:left w:val="nil"/>
              <w:bottom w:val="nil"/>
              <w:right w:val="nil"/>
            </w:tcBorders>
            <w:shd w:val="clear" w:color="auto" w:fill="auto"/>
            <w:noWrap/>
            <w:hideMark/>
          </w:tcPr>
          <w:p w14:paraId="5A91C6C7" w14:textId="0E98ED90" w:rsidR="003C5161" w:rsidRPr="0017795C" w:rsidRDefault="003C5161" w:rsidP="12255D97">
            <w:pPr>
              <w:spacing w:after="0" w:line="240" w:lineRule="auto"/>
              <w:rPr>
                <w:rFonts w:eastAsia="Times New Roman" w:cs="Arial"/>
                <w:color w:val="000000" w:themeColor="text1"/>
                <w:sz w:val="22"/>
                <w:lang w:eastAsia="cs-CZ"/>
              </w:rPr>
            </w:pPr>
            <w:r>
              <w:rPr>
                <w:rFonts w:eastAsiaTheme="minorEastAsia"/>
                <w:color w:val="000000" w:themeColor="text1"/>
                <w:sz w:val="22"/>
                <w:lang w:eastAsia="cs-CZ"/>
              </w:rPr>
              <w:t>OP</w:t>
            </w:r>
            <w:r w:rsidR="00B45775">
              <w:rPr>
                <w:rFonts w:eastAsiaTheme="minorEastAsia"/>
                <w:color w:val="000000" w:themeColor="text1"/>
                <w:sz w:val="22"/>
                <w:lang w:eastAsia="cs-CZ"/>
              </w:rPr>
              <w:t xml:space="preserve"> </w:t>
            </w:r>
            <w:r>
              <w:rPr>
                <w:rFonts w:eastAsiaTheme="minorEastAsia"/>
                <w:color w:val="000000" w:themeColor="text1"/>
                <w:sz w:val="22"/>
                <w:lang w:eastAsia="cs-CZ"/>
              </w:rPr>
              <w:t>ST</w:t>
            </w:r>
          </w:p>
        </w:tc>
        <w:tc>
          <w:tcPr>
            <w:tcW w:w="8079" w:type="dxa"/>
            <w:tcBorders>
              <w:top w:val="nil"/>
              <w:left w:val="nil"/>
              <w:bottom w:val="nil"/>
              <w:right w:val="nil"/>
            </w:tcBorders>
            <w:shd w:val="clear" w:color="auto" w:fill="auto"/>
            <w:noWrap/>
            <w:vAlign w:val="bottom"/>
            <w:hideMark/>
          </w:tcPr>
          <w:p w14:paraId="25839FC1" w14:textId="2D46DFE7" w:rsidR="003C5161" w:rsidRPr="0017795C" w:rsidRDefault="003C5161" w:rsidP="12255D97">
            <w:pPr>
              <w:spacing w:after="0" w:line="240" w:lineRule="auto"/>
              <w:rPr>
                <w:rFonts w:eastAsia="Times New Roman" w:cs="Arial"/>
                <w:color w:val="000000" w:themeColor="text1"/>
                <w:sz w:val="22"/>
                <w:lang w:eastAsia="cs-CZ"/>
              </w:rPr>
            </w:pPr>
            <w:r>
              <w:rPr>
                <w:rFonts w:eastAsiaTheme="minorEastAsia"/>
                <w:color w:val="000000" w:themeColor="text1"/>
                <w:sz w:val="22"/>
                <w:lang w:eastAsia="cs-CZ"/>
              </w:rPr>
              <w:t>Operační program Spravedlivá transformace</w:t>
            </w:r>
          </w:p>
        </w:tc>
      </w:tr>
      <w:tr w:rsidR="00EB2110" w:rsidRPr="0017795C" w14:paraId="2A27EB35" w14:textId="77777777" w:rsidTr="12255D97">
        <w:trPr>
          <w:trHeight w:val="250"/>
        </w:trPr>
        <w:tc>
          <w:tcPr>
            <w:tcW w:w="993" w:type="dxa"/>
            <w:tcBorders>
              <w:top w:val="nil"/>
              <w:left w:val="nil"/>
              <w:bottom w:val="nil"/>
              <w:right w:val="nil"/>
            </w:tcBorders>
            <w:shd w:val="clear" w:color="auto" w:fill="auto"/>
            <w:noWrap/>
            <w:hideMark/>
          </w:tcPr>
          <w:p w14:paraId="6AF2B15E"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TAK</w:t>
            </w:r>
          </w:p>
        </w:tc>
        <w:tc>
          <w:tcPr>
            <w:tcW w:w="8079" w:type="dxa"/>
            <w:tcBorders>
              <w:top w:val="nil"/>
              <w:left w:val="nil"/>
              <w:bottom w:val="nil"/>
              <w:right w:val="nil"/>
            </w:tcBorders>
            <w:shd w:val="clear" w:color="auto" w:fill="auto"/>
            <w:noWrap/>
            <w:vAlign w:val="bottom"/>
            <w:hideMark/>
          </w:tcPr>
          <w:p w14:paraId="7B8B4D78"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Technologie a aplikace pro konkurenceschopnost</w:t>
            </w:r>
          </w:p>
        </w:tc>
      </w:tr>
      <w:tr w:rsidR="00EB2110" w:rsidRPr="0017795C" w14:paraId="7C76B385" w14:textId="77777777" w:rsidTr="12255D97">
        <w:trPr>
          <w:trHeight w:val="250"/>
        </w:trPr>
        <w:tc>
          <w:tcPr>
            <w:tcW w:w="993" w:type="dxa"/>
            <w:tcBorders>
              <w:top w:val="nil"/>
              <w:left w:val="nil"/>
              <w:bottom w:val="nil"/>
              <w:right w:val="nil"/>
            </w:tcBorders>
            <w:shd w:val="clear" w:color="auto" w:fill="auto"/>
            <w:noWrap/>
            <w:vAlign w:val="bottom"/>
            <w:hideMark/>
          </w:tcPr>
          <w:p w14:paraId="58771869" w14:textId="03E8F17E" w:rsidR="00EB2110" w:rsidRPr="0017795C" w:rsidRDefault="7DBEA022"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VVV</w:t>
            </w:r>
          </w:p>
        </w:tc>
        <w:tc>
          <w:tcPr>
            <w:tcW w:w="8079" w:type="dxa"/>
            <w:tcBorders>
              <w:top w:val="nil"/>
              <w:left w:val="nil"/>
              <w:bottom w:val="nil"/>
              <w:right w:val="nil"/>
            </w:tcBorders>
            <w:shd w:val="clear" w:color="auto" w:fill="auto"/>
            <w:noWrap/>
            <w:vAlign w:val="bottom"/>
            <w:hideMark/>
          </w:tcPr>
          <w:p w14:paraId="6BF04AE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Výzkum, vývoj a vzdělávání</w:t>
            </w:r>
          </w:p>
        </w:tc>
      </w:tr>
      <w:tr w:rsidR="00EB2110" w:rsidRPr="0017795C" w14:paraId="2AEB2924" w14:textId="77777777" w:rsidTr="00784827">
        <w:trPr>
          <w:trHeight w:val="250"/>
        </w:trPr>
        <w:tc>
          <w:tcPr>
            <w:tcW w:w="993" w:type="dxa"/>
            <w:tcBorders>
              <w:top w:val="nil"/>
              <w:left w:val="nil"/>
              <w:bottom w:val="nil"/>
              <w:right w:val="nil"/>
            </w:tcBorders>
            <w:shd w:val="clear" w:color="auto" w:fill="auto"/>
            <w:noWrap/>
            <w:vAlign w:val="bottom"/>
            <w:hideMark/>
          </w:tcPr>
          <w:p w14:paraId="70D1DE4A"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 ŽP</w:t>
            </w:r>
          </w:p>
        </w:tc>
        <w:tc>
          <w:tcPr>
            <w:tcW w:w="8079" w:type="dxa"/>
            <w:tcBorders>
              <w:top w:val="nil"/>
              <w:left w:val="nil"/>
              <w:right w:val="nil"/>
            </w:tcBorders>
            <w:shd w:val="clear" w:color="auto" w:fill="auto"/>
            <w:noWrap/>
            <w:vAlign w:val="bottom"/>
            <w:hideMark/>
          </w:tcPr>
          <w:p w14:paraId="3E49A928"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Operační program Životní prostředí</w:t>
            </w:r>
          </w:p>
        </w:tc>
      </w:tr>
      <w:tr w:rsidR="00784827" w:rsidRPr="0017795C" w14:paraId="7B2C5033" w14:textId="77777777" w:rsidTr="00784827">
        <w:trPr>
          <w:trHeight w:val="250"/>
        </w:trPr>
        <w:tc>
          <w:tcPr>
            <w:tcW w:w="993" w:type="dxa"/>
            <w:tcBorders>
              <w:top w:val="nil"/>
              <w:left w:val="nil"/>
              <w:bottom w:val="nil"/>
            </w:tcBorders>
            <w:shd w:val="clear" w:color="auto" w:fill="auto"/>
            <w:noWrap/>
            <w:vAlign w:val="bottom"/>
          </w:tcPr>
          <w:p w14:paraId="0606AF13" w14:textId="7B7100F2" w:rsidR="00784827" w:rsidRPr="008C0420" w:rsidRDefault="00784827" w:rsidP="12255D97">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OZE</w:t>
            </w:r>
          </w:p>
        </w:tc>
        <w:tc>
          <w:tcPr>
            <w:tcW w:w="8079" w:type="dxa"/>
            <w:tcBorders>
              <w:top w:val="nil"/>
              <w:bottom w:val="nil"/>
              <w:right w:val="nil"/>
            </w:tcBorders>
            <w:shd w:val="clear" w:color="auto" w:fill="auto"/>
            <w:noWrap/>
            <w:vAlign w:val="bottom"/>
          </w:tcPr>
          <w:p w14:paraId="49772752" w14:textId="14E156B6" w:rsidR="00784827" w:rsidRPr="008C0420" w:rsidRDefault="00784827" w:rsidP="12255D97">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Obnovitelné zdroje energie</w:t>
            </w:r>
          </w:p>
        </w:tc>
      </w:tr>
      <w:tr w:rsidR="00984C8E" w:rsidRPr="0017795C" w14:paraId="4A452451" w14:textId="77777777" w:rsidTr="00784827">
        <w:trPr>
          <w:trHeight w:val="250"/>
        </w:trPr>
        <w:tc>
          <w:tcPr>
            <w:tcW w:w="993" w:type="dxa"/>
            <w:tcBorders>
              <w:top w:val="nil"/>
              <w:left w:val="nil"/>
              <w:bottom w:val="nil"/>
            </w:tcBorders>
            <w:shd w:val="clear" w:color="auto" w:fill="auto"/>
            <w:noWrap/>
            <w:vAlign w:val="bottom"/>
          </w:tcPr>
          <w:p w14:paraId="7C79203E" w14:textId="2EE0EE71" w:rsidR="00984C8E" w:rsidRDefault="00984C8E" w:rsidP="12255D97">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PSÚT</w:t>
            </w:r>
          </w:p>
        </w:tc>
        <w:tc>
          <w:tcPr>
            <w:tcW w:w="8079" w:type="dxa"/>
            <w:tcBorders>
              <w:top w:val="nil"/>
              <w:bottom w:val="nil"/>
              <w:right w:val="nil"/>
            </w:tcBorders>
            <w:shd w:val="clear" w:color="auto" w:fill="auto"/>
            <w:noWrap/>
            <w:vAlign w:val="bottom"/>
          </w:tcPr>
          <w:p w14:paraId="4DD6F36B" w14:textId="6CD2E309" w:rsidR="00984C8E" w:rsidRDefault="00285137" w:rsidP="12255D97">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Plán spravedlivé územní transformace</w:t>
            </w:r>
          </w:p>
        </w:tc>
      </w:tr>
      <w:tr w:rsidR="00EB2110" w:rsidRPr="0017795C" w14:paraId="47A2C74A" w14:textId="77777777" w:rsidTr="00784827">
        <w:trPr>
          <w:trHeight w:val="250"/>
        </w:trPr>
        <w:tc>
          <w:tcPr>
            <w:tcW w:w="993" w:type="dxa"/>
            <w:tcBorders>
              <w:top w:val="nil"/>
              <w:left w:val="nil"/>
              <w:bottom w:val="nil"/>
            </w:tcBorders>
            <w:shd w:val="clear" w:color="auto" w:fill="auto"/>
            <w:noWrap/>
            <w:vAlign w:val="bottom"/>
            <w:hideMark/>
          </w:tcPr>
          <w:p w14:paraId="6B2588A1"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RIS3</w:t>
            </w:r>
          </w:p>
        </w:tc>
        <w:tc>
          <w:tcPr>
            <w:tcW w:w="8079" w:type="dxa"/>
            <w:tcBorders>
              <w:top w:val="nil"/>
              <w:bottom w:val="nil"/>
              <w:right w:val="nil"/>
            </w:tcBorders>
            <w:shd w:val="clear" w:color="auto" w:fill="auto"/>
            <w:noWrap/>
            <w:vAlign w:val="bottom"/>
            <w:hideMark/>
          </w:tcPr>
          <w:p w14:paraId="19F7847F"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Regionální inovační strategie</w:t>
            </w:r>
          </w:p>
        </w:tc>
      </w:tr>
      <w:tr w:rsidR="00EB2110" w:rsidRPr="0017795C" w14:paraId="022751BF" w14:textId="77777777" w:rsidTr="00784827">
        <w:trPr>
          <w:trHeight w:val="250"/>
        </w:trPr>
        <w:tc>
          <w:tcPr>
            <w:tcW w:w="993" w:type="dxa"/>
            <w:tcBorders>
              <w:top w:val="nil"/>
              <w:left w:val="nil"/>
              <w:bottom w:val="nil"/>
            </w:tcBorders>
            <w:shd w:val="clear" w:color="auto" w:fill="auto"/>
            <w:noWrap/>
            <w:vAlign w:val="bottom"/>
            <w:hideMark/>
          </w:tcPr>
          <w:p w14:paraId="4AC442D7"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RSK</w:t>
            </w:r>
          </w:p>
        </w:tc>
        <w:tc>
          <w:tcPr>
            <w:tcW w:w="8079" w:type="dxa"/>
            <w:tcBorders>
              <w:top w:val="nil"/>
              <w:bottom w:val="nil"/>
              <w:right w:val="nil"/>
            </w:tcBorders>
            <w:shd w:val="clear" w:color="auto" w:fill="auto"/>
            <w:noWrap/>
            <w:vAlign w:val="bottom"/>
            <w:hideMark/>
          </w:tcPr>
          <w:p w14:paraId="66450D97"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Regionální stálá konference</w:t>
            </w:r>
          </w:p>
        </w:tc>
      </w:tr>
      <w:tr w:rsidR="00EB2110" w:rsidRPr="0017795C" w14:paraId="2F26E0D1" w14:textId="77777777" w:rsidTr="00784827">
        <w:trPr>
          <w:trHeight w:val="250"/>
        </w:trPr>
        <w:tc>
          <w:tcPr>
            <w:tcW w:w="993" w:type="dxa"/>
            <w:tcBorders>
              <w:top w:val="nil"/>
              <w:left w:val="nil"/>
              <w:bottom w:val="nil"/>
            </w:tcBorders>
            <w:shd w:val="clear" w:color="auto" w:fill="auto"/>
            <w:noWrap/>
            <w:vAlign w:val="bottom"/>
            <w:hideMark/>
          </w:tcPr>
          <w:p w14:paraId="0CC5F449"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SFDI</w:t>
            </w:r>
          </w:p>
        </w:tc>
        <w:tc>
          <w:tcPr>
            <w:tcW w:w="8079" w:type="dxa"/>
            <w:tcBorders>
              <w:top w:val="nil"/>
              <w:bottom w:val="nil"/>
              <w:right w:val="nil"/>
            </w:tcBorders>
            <w:shd w:val="clear" w:color="auto" w:fill="auto"/>
            <w:noWrap/>
            <w:vAlign w:val="bottom"/>
            <w:hideMark/>
          </w:tcPr>
          <w:p w14:paraId="213952B6" w14:textId="77777777" w:rsidR="00EB2110" w:rsidRPr="0017795C" w:rsidRDefault="75C667BD" w:rsidP="12255D97">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Státní fond dopravní infrastruktury</w:t>
            </w:r>
          </w:p>
        </w:tc>
      </w:tr>
      <w:tr w:rsidR="00984C8E" w:rsidRPr="0017795C" w14:paraId="01EB90CE" w14:textId="77777777" w:rsidTr="00784827">
        <w:trPr>
          <w:trHeight w:val="250"/>
        </w:trPr>
        <w:tc>
          <w:tcPr>
            <w:tcW w:w="993" w:type="dxa"/>
            <w:tcBorders>
              <w:top w:val="nil"/>
              <w:left w:val="nil"/>
              <w:bottom w:val="nil"/>
            </w:tcBorders>
            <w:shd w:val="clear" w:color="auto" w:fill="auto"/>
            <w:noWrap/>
            <w:vAlign w:val="bottom"/>
          </w:tcPr>
          <w:p w14:paraId="61AD4789" w14:textId="4E90A383" w:rsidR="00984C8E" w:rsidRPr="008C0420" w:rsidRDefault="00984C8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SFEU</w:t>
            </w:r>
          </w:p>
        </w:tc>
        <w:tc>
          <w:tcPr>
            <w:tcW w:w="8079" w:type="dxa"/>
            <w:tcBorders>
              <w:top w:val="nil"/>
              <w:bottom w:val="nil"/>
              <w:right w:val="nil"/>
            </w:tcBorders>
            <w:shd w:val="clear" w:color="auto" w:fill="auto"/>
            <w:noWrap/>
            <w:vAlign w:val="bottom"/>
          </w:tcPr>
          <w:p w14:paraId="4F9E2B2F" w14:textId="1DDDB26E" w:rsidR="00984C8E" w:rsidRPr="008C0420" w:rsidRDefault="00984C8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Smlouva o fungování Evropské unie</w:t>
            </w:r>
          </w:p>
        </w:tc>
      </w:tr>
      <w:tr w:rsidR="00B62D3E" w:rsidRPr="0017795C" w14:paraId="1F664652" w14:textId="77777777" w:rsidTr="00784827">
        <w:trPr>
          <w:trHeight w:val="250"/>
        </w:trPr>
        <w:tc>
          <w:tcPr>
            <w:tcW w:w="993" w:type="dxa"/>
            <w:tcBorders>
              <w:top w:val="nil"/>
              <w:left w:val="nil"/>
              <w:bottom w:val="nil"/>
            </w:tcBorders>
            <w:shd w:val="clear" w:color="auto" w:fill="auto"/>
            <w:noWrap/>
            <w:vAlign w:val="bottom"/>
          </w:tcPr>
          <w:p w14:paraId="2F30BE6F" w14:textId="75488439" w:rsidR="00B62D3E" w:rsidRDefault="00B62D3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SFŽP</w:t>
            </w:r>
          </w:p>
        </w:tc>
        <w:tc>
          <w:tcPr>
            <w:tcW w:w="8079" w:type="dxa"/>
            <w:tcBorders>
              <w:top w:val="nil"/>
              <w:bottom w:val="nil"/>
              <w:right w:val="nil"/>
            </w:tcBorders>
            <w:shd w:val="clear" w:color="auto" w:fill="auto"/>
            <w:noWrap/>
            <w:vAlign w:val="bottom"/>
          </w:tcPr>
          <w:p w14:paraId="7C06793E" w14:textId="4B0600EC" w:rsidR="00B62D3E" w:rsidRDefault="00B62D3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Státní fond životního prostředí</w:t>
            </w:r>
          </w:p>
        </w:tc>
      </w:tr>
      <w:tr w:rsidR="00B62D3E" w:rsidRPr="0017795C" w14:paraId="69C38CEB" w14:textId="77777777" w:rsidTr="00784827">
        <w:trPr>
          <w:trHeight w:val="250"/>
        </w:trPr>
        <w:tc>
          <w:tcPr>
            <w:tcW w:w="993" w:type="dxa"/>
            <w:tcBorders>
              <w:top w:val="nil"/>
              <w:left w:val="nil"/>
              <w:bottom w:val="nil"/>
            </w:tcBorders>
            <w:shd w:val="clear" w:color="auto" w:fill="auto"/>
            <w:noWrap/>
            <w:vAlign w:val="bottom"/>
          </w:tcPr>
          <w:p w14:paraId="4CB9D815" w14:textId="773BD661" w:rsidR="00B62D3E" w:rsidRDefault="00B62D3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SKO</w:t>
            </w:r>
          </w:p>
        </w:tc>
        <w:tc>
          <w:tcPr>
            <w:tcW w:w="8079" w:type="dxa"/>
            <w:tcBorders>
              <w:top w:val="nil"/>
              <w:bottom w:val="nil"/>
              <w:right w:val="nil"/>
            </w:tcBorders>
            <w:shd w:val="clear" w:color="auto" w:fill="auto"/>
            <w:noWrap/>
            <w:vAlign w:val="bottom"/>
          </w:tcPr>
          <w:p w14:paraId="10A374C6" w14:textId="1753A359" w:rsidR="00B62D3E" w:rsidRDefault="00B62D3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Směsný komunální odpad</w:t>
            </w:r>
          </w:p>
        </w:tc>
      </w:tr>
      <w:tr w:rsidR="00B62D3E" w:rsidRPr="0017795C" w14:paraId="3DA103FC" w14:textId="77777777" w:rsidTr="00784827">
        <w:trPr>
          <w:trHeight w:val="250"/>
        </w:trPr>
        <w:tc>
          <w:tcPr>
            <w:tcW w:w="993" w:type="dxa"/>
            <w:tcBorders>
              <w:top w:val="nil"/>
              <w:left w:val="nil"/>
              <w:bottom w:val="nil"/>
            </w:tcBorders>
            <w:shd w:val="clear" w:color="auto" w:fill="auto"/>
            <w:noWrap/>
            <w:vAlign w:val="bottom"/>
          </w:tcPr>
          <w:p w14:paraId="4649E57D" w14:textId="2149F0AE" w:rsidR="00B62D3E" w:rsidRDefault="00B62D3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SMO</w:t>
            </w:r>
          </w:p>
        </w:tc>
        <w:tc>
          <w:tcPr>
            <w:tcW w:w="8079" w:type="dxa"/>
            <w:tcBorders>
              <w:top w:val="nil"/>
              <w:bottom w:val="nil"/>
              <w:right w:val="nil"/>
            </w:tcBorders>
            <w:shd w:val="clear" w:color="auto" w:fill="auto"/>
            <w:noWrap/>
            <w:vAlign w:val="bottom"/>
          </w:tcPr>
          <w:p w14:paraId="1BF5BEAF" w14:textId="71FC0067" w:rsidR="00B62D3E" w:rsidRDefault="00B62D3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Svaz měst a obcí</w:t>
            </w:r>
          </w:p>
        </w:tc>
      </w:tr>
      <w:tr w:rsidR="00285137" w:rsidRPr="0017795C" w14:paraId="0A5B3A83" w14:textId="77777777" w:rsidTr="00784827">
        <w:trPr>
          <w:trHeight w:val="250"/>
        </w:trPr>
        <w:tc>
          <w:tcPr>
            <w:tcW w:w="993" w:type="dxa"/>
            <w:tcBorders>
              <w:top w:val="nil"/>
              <w:left w:val="nil"/>
              <w:bottom w:val="nil"/>
            </w:tcBorders>
            <w:shd w:val="clear" w:color="auto" w:fill="auto"/>
            <w:noWrap/>
            <w:vAlign w:val="bottom"/>
          </w:tcPr>
          <w:p w14:paraId="034AE700" w14:textId="6DC94C16" w:rsidR="00285137" w:rsidRDefault="00285137"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SPR</w:t>
            </w:r>
          </w:p>
        </w:tc>
        <w:tc>
          <w:tcPr>
            <w:tcW w:w="8079" w:type="dxa"/>
            <w:tcBorders>
              <w:top w:val="nil"/>
              <w:bottom w:val="nil"/>
              <w:right w:val="nil"/>
            </w:tcBorders>
            <w:shd w:val="clear" w:color="auto" w:fill="auto"/>
            <w:noWrap/>
            <w:vAlign w:val="bottom"/>
          </w:tcPr>
          <w:p w14:paraId="6B8C8F1D" w14:textId="794D7B9A" w:rsidR="00285137" w:rsidRDefault="00285137"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Strukturálně postižené regiony</w:t>
            </w:r>
          </w:p>
        </w:tc>
      </w:tr>
      <w:tr w:rsidR="00984C8E" w:rsidRPr="0017795C" w14:paraId="2C2A54FB" w14:textId="77777777" w:rsidTr="00784827">
        <w:trPr>
          <w:trHeight w:val="250"/>
        </w:trPr>
        <w:tc>
          <w:tcPr>
            <w:tcW w:w="993" w:type="dxa"/>
            <w:tcBorders>
              <w:top w:val="nil"/>
              <w:left w:val="nil"/>
              <w:bottom w:val="nil"/>
            </w:tcBorders>
            <w:shd w:val="clear" w:color="auto" w:fill="auto"/>
            <w:noWrap/>
            <w:vAlign w:val="bottom"/>
          </w:tcPr>
          <w:p w14:paraId="12A6A39F" w14:textId="06F5C022" w:rsidR="00984C8E" w:rsidRDefault="00984C8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SRR</w:t>
            </w:r>
          </w:p>
        </w:tc>
        <w:tc>
          <w:tcPr>
            <w:tcW w:w="8079" w:type="dxa"/>
            <w:tcBorders>
              <w:top w:val="nil"/>
              <w:bottom w:val="nil"/>
              <w:right w:val="nil"/>
            </w:tcBorders>
            <w:shd w:val="clear" w:color="auto" w:fill="auto"/>
            <w:noWrap/>
            <w:vAlign w:val="bottom"/>
          </w:tcPr>
          <w:p w14:paraId="1DDFC236" w14:textId="2A8078FB" w:rsidR="00984C8E" w:rsidRDefault="00984C8E"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Strategie regionálního rozvoje</w:t>
            </w:r>
          </w:p>
        </w:tc>
      </w:tr>
      <w:tr w:rsidR="00984C8E" w:rsidRPr="0017795C" w14:paraId="0FB073DD" w14:textId="77777777" w:rsidTr="12255D97">
        <w:trPr>
          <w:trHeight w:val="250"/>
        </w:trPr>
        <w:tc>
          <w:tcPr>
            <w:tcW w:w="993" w:type="dxa"/>
            <w:tcBorders>
              <w:top w:val="nil"/>
              <w:left w:val="nil"/>
              <w:bottom w:val="nil"/>
              <w:right w:val="nil"/>
            </w:tcBorders>
            <w:shd w:val="clear" w:color="auto" w:fill="auto"/>
            <w:noWrap/>
            <w:vAlign w:val="bottom"/>
            <w:hideMark/>
          </w:tcPr>
          <w:p w14:paraId="24F77FE9"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SW</w:t>
            </w:r>
          </w:p>
        </w:tc>
        <w:tc>
          <w:tcPr>
            <w:tcW w:w="8079" w:type="dxa"/>
            <w:tcBorders>
              <w:top w:val="nil"/>
              <w:left w:val="nil"/>
              <w:bottom w:val="nil"/>
              <w:right w:val="nil"/>
            </w:tcBorders>
            <w:shd w:val="clear" w:color="auto" w:fill="auto"/>
            <w:noWrap/>
            <w:vAlign w:val="bottom"/>
            <w:hideMark/>
          </w:tcPr>
          <w:p w14:paraId="45F2D3B4"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Software</w:t>
            </w:r>
          </w:p>
        </w:tc>
      </w:tr>
      <w:tr w:rsidR="00285137" w:rsidRPr="0017795C" w14:paraId="766BBB20" w14:textId="77777777" w:rsidTr="12255D97">
        <w:trPr>
          <w:trHeight w:val="250"/>
        </w:trPr>
        <w:tc>
          <w:tcPr>
            <w:tcW w:w="993" w:type="dxa"/>
            <w:tcBorders>
              <w:top w:val="nil"/>
              <w:left w:val="nil"/>
              <w:bottom w:val="nil"/>
              <w:right w:val="nil"/>
            </w:tcBorders>
            <w:shd w:val="clear" w:color="auto" w:fill="auto"/>
            <w:noWrap/>
            <w:vAlign w:val="bottom"/>
          </w:tcPr>
          <w:p w14:paraId="69791659" w14:textId="32D20F32" w:rsidR="00285137" w:rsidRPr="008C0420" w:rsidRDefault="00285137"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SZTE</w:t>
            </w:r>
          </w:p>
        </w:tc>
        <w:tc>
          <w:tcPr>
            <w:tcW w:w="8079" w:type="dxa"/>
            <w:tcBorders>
              <w:top w:val="nil"/>
              <w:left w:val="nil"/>
              <w:bottom w:val="nil"/>
              <w:right w:val="nil"/>
            </w:tcBorders>
            <w:shd w:val="clear" w:color="auto" w:fill="auto"/>
            <w:noWrap/>
            <w:vAlign w:val="bottom"/>
          </w:tcPr>
          <w:p w14:paraId="655B30CB" w14:textId="6CDAC68A" w:rsidR="00285137" w:rsidRPr="008C0420" w:rsidRDefault="00285137" w:rsidP="00984C8E">
            <w:pPr>
              <w:spacing w:after="0" w:line="240" w:lineRule="auto"/>
              <w:rPr>
                <w:rFonts w:eastAsiaTheme="minorEastAsia"/>
                <w:color w:val="000000" w:themeColor="text1"/>
                <w:sz w:val="22"/>
                <w:lang w:eastAsia="cs-CZ"/>
              </w:rPr>
            </w:pPr>
            <w:r>
              <w:rPr>
                <w:rFonts w:eastAsiaTheme="minorEastAsia"/>
                <w:color w:val="000000" w:themeColor="text1"/>
                <w:sz w:val="22"/>
                <w:lang w:eastAsia="cs-CZ"/>
              </w:rPr>
              <w:t>Soustava zásobování tepelnou energií</w:t>
            </w:r>
          </w:p>
        </w:tc>
      </w:tr>
      <w:tr w:rsidR="00984C8E" w:rsidRPr="0017795C" w14:paraId="6E681584" w14:textId="77777777" w:rsidTr="008C0420">
        <w:trPr>
          <w:trHeight w:val="300"/>
        </w:trPr>
        <w:tc>
          <w:tcPr>
            <w:tcW w:w="993" w:type="dxa"/>
            <w:tcBorders>
              <w:top w:val="nil"/>
              <w:left w:val="nil"/>
              <w:bottom w:val="nil"/>
              <w:right w:val="nil"/>
            </w:tcBorders>
            <w:shd w:val="clear" w:color="auto" w:fill="auto"/>
            <w:noWrap/>
            <w:vAlign w:val="bottom"/>
            <w:hideMark/>
          </w:tcPr>
          <w:p w14:paraId="7F59A618"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lastRenderedPageBreak/>
              <w:t>TA ČR</w:t>
            </w:r>
          </w:p>
        </w:tc>
        <w:tc>
          <w:tcPr>
            <w:tcW w:w="8079" w:type="dxa"/>
            <w:tcBorders>
              <w:top w:val="nil"/>
              <w:left w:val="nil"/>
              <w:bottom w:val="nil"/>
              <w:right w:val="nil"/>
            </w:tcBorders>
            <w:shd w:val="clear" w:color="auto" w:fill="auto"/>
            <w:noWrap/>
            <w:vAlign w:val="bottom"/>
            <w:hideMark/>
          </w:tcPr>
          <w:p w14:paraId="2D45EB7E"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Technologická agentura České republiky</w:t>
            </w:r>
          </w:p>
        </w:tc>
      </w:tr>
      <w:tr w:rsidR="00984C8E" w:rsidRPr="0017795C" w14:paraId="585F4E1C" w14:textId="77777777" w:rsidTr="12255D97">
        <w:trPr>
          <w:trHeight w:val="250"/>
        </w:trPr>
        <w:tc>
          <w:tcPr>
            <w:tcW w:w="993" w:type="dxa"/>
            <w:tcBorders>
              <w:top w:val="nil"/>
              <w:left w:val="nil"/>
              <w:bottom w:val="nil"/>
              <w:right w:val="nil"/>
            </w:tcBorders>
            <w:shd w:val="clear" w:color="auto" w:fill="auto"/>
            <w:noWrap/>
            <w:vAlign w:val="bottom"/>
            <w:hideMark/>
          </w:tcPr>
          <w:p w14:paraId="19FAD291"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UJEP</w:t>
            </w:r>
          </w:p>
        </w:tc>
        <w:tc>
          <w:tcPr>
            <w:tcW w:w="8079" w:type="dxa"/>
            <w:tcBorders>
              <w:top w:val="nil"/>
              <w:left w:val="nil"/>
              <w:bottom w:val="nil"/>
              <w:right w:val="nil"/>
            </w:tcBorders>
            <w:shd w:val="clear" w:color="auto" w:fill="auto"/>
            <w:noWrap/>
            <w:vAlign w:val="bottom"/>
            <w:hideMark/>
          </w:tcPr>
          <w:p w14:paraId="466CD61F"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Univerzita Jana Evangelisty Purkyně</w:t>
            </w:r>
          </w:p>
        </w:tc>
      </w:tr>
      <w:tr w:rsidR="00984C8E" w:rsidRPr="0017795C" w14:paraId="78DEDB22" w14:textId="77777777" w:rsidTr="12255D97">
        <w:trPr>
          <w:trHeight w:val="250"/>
        </w:trPr>
        <w:tc>
          <w:tcPr>
            <w:tcW w:w="993" w:type="dxa"/>
            <w:tcBorders>
              <w:top w:val="nil"/>
              <w:left w:val="nil"/>
              <w:bottom w:val="nil"/>
              <w:right w:val="nil"/>
            </w:tcBorders>
            <w:shd w:val="clear" w:color="auto" w:fill="auto"/>
            <w:noWrap/>
            <w:vAlign w:val="bottom"/>
            <w:hideMark/>
          </w:tcPr>
          <w:p w14:paraId="5B4462C2"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ÚK</w:t>
            </w:r>
          </w:p>
        </w:tc>
        <w:tc>
          <w:tcPr>
            <w:tcW w:w="8079" w:type="dxa"/>
            <w:tcBorders>
              <w:top w:val="nil"/>
              <w:left w:val="nil"/>
              <w:bottom w:val="nil"/>
              <w:right w:val="nil"/>
            </w:tcBorders>
            <w:shd w:val="clear" w:color="auto" w:fill="auto"/>
            <w:noWrap/>
            <w:vAlign w:val="bottom"/>
            <w:hideMark/>
          </w:tcPr>
          <w:p w14:paraId="698D9D77"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Ústecký kraj</w:t>
            </w:r>
          </w:p>
        </w:tc>
      </w:tr>
      <w:tr w:rsidR="00984C8E" w:rsidRPr="0017795C" w14:paraId="2552982C" w14:textId="77777777" w:rsidTr="12255D97">
        <w:trPr>
          <w:trHeight w:val="250"/>
        </w:trPr>
        <w:tc>
          <w:tcPr>
            <w:tcW w:w="993" w:type="dxa"/>
            <w:tcBorders>
              <w:top w:val="nil"/>
              <w:left w:val="nil"/>
              <w:bottom w:val="nil"/>
              <w:right w:val="nil"/>
            </w:tcBorders>
            <w:shd w:val="clear" w:color="auto" w:fill="auto"/>
            <w:noWrap/>
            <w:vAlign w:val="bottom"/>
            <w:hideMark/>
          </w:tcPr>
          <w:p w14:paraId="5227E2FF"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VaV</w:t>
            </w:r>
          </w:p>
        </w:tc>
        <w:tc>
          <w:tcPr>
            <w:tcW w:w="8079" w:type="dxa"/>
            <w:tcBorders>
              <w:top w:val="nil"/>
              <w:left w:val="nil"/>
              <w:bottom w:val="nil"/>
              <w:right w:val="nil"/>
            </w:tcBorders>
            <w:shd w:val="clear" w:color="auto" w:fill="auto"/>
            <w:noWrap/>
            <w:vAlign w:val="bottom"/>
            <w:hideMark/>
          </w:tcPr>
          <w:p w14:paraId="5F3C3F3B" w14:textId="77777777" w:rsidR="00984C8E" w:rsidRPr="0017795C"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Výzkum a vývoj</w:t>
            </w:r>
          </w:p>
        </w:tc>
      </w:tr>
      <w:tr w:rsidR="00984C8E" w:rsidRPr="0017795C" w14:paraId="3DD31B96" w14:textId="77777777" w:rsidTr="12255D97">
        <w:trPr>
          <w:trHeight w:val="250"/>
        </w:trPr>
        <w:tc>
          <w:tcPr>
            <w:tcW w:w="993" w:type="dxa"/>
            <w:tcBorders>
              <w:top w:val="nil"/>
              <w:left w:val="nil"/>
              <w:bottom w:val="nil"/>
              <w:right w:val="nil"/>
            </w:tcBorders>
            <w:shd w:val="clear" w:color="auto" w:fill="auto"/>
            <w:noWrap/>
            <w:vAlign w:val="bottom"/>
            <w:hideMark/>
          </w:tcPr>
          <w:p w14:paraId="6CA48C60" w14:textId="77777777" w:rsidR="00984C8E" w:rsidRPr="008C0420"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VO</w:t>
            </w:r>
          </w:p>
        </w:tc>
        <w:tc>
          <w:tcPr>
            <w:tcW w:w="8079" w:type="dxa"/>
            <w:tcBorders>
              <w:top w:val="nil"/>
              <w:left w:val="nil"/>
              <w:bottom w:val="nil"/>
              <w:right w:val="nil"/>
            </w:tcBorders>
            <w:shd w:val="clear" w:color="auto" w:fill="auto"/>
            <w:noWrap/>
            <w:vAlign w:val="bottom"/>
            <w:hideMark/>
          </w:tcPr>
          <w:p w14:paraId="7FAA2825" w14:textId="77777777" w:rsidR="00984C8E" w:rsidRPr="008C0420" w:rsidRDefault="00984C8E" w:rsidP="00984C8E">
            <w:pPr>
              <w:spacing w:after="0" w:line="240" w:lineRule="auto"/>
              <w:rPr>
                <w:rFonts w:eastAsia="Times New Roman" w:cs="Arial"/>
                <w:color w:val="000000" w:themeColor="text1"/>
                <w:sz w:val="22"/>
                <w:lang w:eastAsia="cs-CZ"/>
              </w:rPr>
            </w:pPr>
            <w:r w:rsidRPr="008C0420">
              <w:rPr>
                <w:rFonts w:eastAsiaTheme="minorEastAsia"/>
                <w:color w:val="000000" w:themeColor="text1"/>
                <w:sz w:val="22"/>
                <w:lang w:eastAsia="cs-CZ"/>
              </w:rPr>
              <w:t>Výzkumné organizace</w:t>
            </w:r>
          </w:p>
        </w:tc>
      </w:tr>
    </w:tbl>
    <w:p w14:paraId="60ECEC5A" w14:textId="5B312DAB" w:rsidR="007275C1" w:rsidRPr="0017795C" w:rsidRDefault="007275C1" w:rsidP="007275C1">
      <w:pPr>
        <w:rPr>
          <w:rFonts w:cs="Arial"/>
          <w:sz w:val="22"/>
        </w:rPr>
      </w:pPr>
    </w:p>
    <w:p w14:paraId="08B1E775" w14:textId="77777777" w:rsidR="007275C1" w:rsidRPr="0017795C" w:rsidRDefault="007275C1" w:rsidP="007275C1">
      <w:pPr>
        <w:rPr>
          <w:rFonts w:cs="Arial"/>
          <w:sz w:val="22"/>
        </w:rPr>
      </w:pPr>
    </w:p>
    <w:p w14:paraId="51F239D7" w14:textId="77777777" w:rsidR="00452578" w:rsidRPr="0017795C" w:rsidRDefault="00452578" w:rsidP="002A78AA">
      <w:pPr>
        <w:rPr>
          <w:rFonts w:cs="Arial"/>
          <w:sz w:val="22"/>
        </w:rPr>
      </w:pPr>
    </w:p>
    <w:p w14:paraId="210865C5" w14:textId="77777777" w:rsidR="00452578" w:rsidRPr="0017795C" w:rsidRDefault="00452578" w:rsidP="00452578">
      <w:pPr>
        <w:spacing w:after="0" w:line="276" w:lineRule="auto"/>
        <w:jc w:val="center"/>
        <w:rPr>
          <w:rFonts w:cs="Arial"/>
          <w:b/>
          <w:sz w:val="22"/>
        </w:rPr>
      </w:pPr>
    </w:p>
    <w:p w14:paraId="38FF8995" w14:textId="059AB3CB" w:rsidR="00AA3000" w:rsidRDefault="002A78AA" w:rsidP="0044044D">
      <w:pPr>
        <w:rPr>
          <w:rFonts w:eastAsia="Calibri" w:cs="Arial"/>
          <w:sz w:val="22"/>
        </w:rPr>
      </w:pPr>
      <w:r w:rsidRPr="0017795C">
        <w:rPr>
          <w:rFonts w:eastAsia="Calibri" w:cs="Arial"/>
          <w:sz w:val="22"/>
        </w:rPr>
        <w:br w:type="page"/>
      </w:r>
    </w:p>
    <w:p w14:paraId="1AF01D3C" w14:textId="77777777" w:rsidR="0071018A" w:rsidRPr="0044044D" w:rsidRDefault="0071018A" w:rsidP="0044044D">
      <w:pPr>
        <w:rPr>
          <w:rFonts w:eastAsia="Calibri" w:cs="Arial"/>
          <w:color w:val="2E74B5" w:themeColor="accent1" w:themeShade="BF"/>
          <w:sz w:val="22"/>
        </w:rPr>
      </w:pPr>
    </w:p>
    <w:p w14:paraId="384C59FC" w14:textId="7D3A5103" w:rsidR="000264FB" w:rsidRDefault="000264FB" w:rsidP="00B70D42">
      <w:pPr>
        <w:pStyle w:val="Nadpis1"/>
        <w:numPr>
          <w:ilvl w:val="0"/>
          <w:numId w:val="0"/>
        </w:numPr>
        <w:ind w:left="283"/>
        <w:jc w:val="center"/>
        <w:rPr>
          <w:rFonts w:eastAsia="Calibri" w:cs="Arial"/>
        </w:rPr>
      </w:pPr>
      <w:bookmarkStart w:id="2" w:name="_Toc63804131"/>
      <w:bookmarkStart w:id="3" w:name="_Toc63804132"/>
      <w:bookmarkStart w:id="4" w:name="_Toc175743026"/>
      <w:bookmarkEnd w:id="2"/>
      <w:bookmarkEnd w:id="3"/>
      <w:r>
        <w:rPr>
          <w:rFonts w:eastAsia="Calibri" w:cs="Arial"/>
        </w:rPr>
        <w:t>Příloha A: Implementační zásady</w:t>
      </w:r>
      <w:bookmarkEnd w:id="4"/>
    </w:p>
    <w:p w14:paraId="3E3BC810" w14:textId="3E22C5EF" w:rsidR="000264FB" w:rsidRPr="000264FB" w:rsidRDefault="000264FB" w:rsidP="002E4092">
      <w:pPr>
        <w:pStyle w:val="Nadpis1"/>
        <w:numPr>
          <w:ilvl w:val="0"/>
          <w:numId w:val="23"/>
        </w:numPr>
        <w:rPr>
          <w:rFonts w:cs="Arial"/>
        </w:rPr>
      </w:pPr>
      <w:bookmarkStart w:id="5" w:name="_Toc175743027"/>
      <w:r w:rsidRPr="000264FB">
        <w:rPr>
          <w:rFonts w:cs="Arial"/>
        </w:rPr>
        <w:t>Úvod</w:t>
      </w:r>
      <w:bookmarkEnd w:id="5"/>
    </w:p>
    <w:p w14:paraId="1676F2F8" w14:textId="77777777" w:rsidR="000264FB" w:rsidRPr="000264FB" w:rsidRDefault="000264FB" w:rsidP="008970A9">
      <w:pPr>
        <w:spacing w:line="276" w:lineRule="auto"/>
        <w:jc w:val="both"/>
        <w:rPr>
          <w:rFonts w:cs="Arial"/>
          <w:sz w:val="22"/>
        </w:rPr>
      </w:pPr>
      <w:r w:rsidRPr="000264FB">
        <w:rPr>
          <w:rFonts w:cs="Arial"/>
          <w:sz w:val="22"/>
        </w:rPr>
        <w:t>Implementační zásady Souhrnného akčního plánu Strategie hospodářské restrukturalizace Ústeckého, Moravskoslezského a Karlovarského kraje (dále jen „Implementační zásady“) jsou doplňkem k Implementačnímu a organizačnímu rámci, který byl jako Příloha č. 2 Strategického rámce hospodářské restrukturalizace Ústeckého, Moravskoslezského a Karlovarského kraje (Strategie RE:START) schválen vládou České republiky dne 9. ledna 2017. První aktualizace Implementačních zásad byla jako Příloha č. 3 Souhrnného akčního plánu hospodářské restrukturalizace Ústeckého, Moravskoslezského a Karlovarského kraje 2018-2019 schválena vládou dne 4. září 2018, druhá aktualizace byla schválena vládou dne 29. března 2021, třetí aktualizace byla schválena vládou dne 14. prosince 2022.</w:t>
      </w:r>
    </w:p>
    <w:p w14:paraId="6C53CFCF" w14:textId="77777777" w:rsidR="000264FB" w:rsidRPr="000264FB" w:rsidRDefault="000264FB" w:rsidP="008970A9">
      <w:pPr>
        <w:spacing w:line="276" w:lineRule="auto"/>
        <w:jc w:val="both"/>
        <w:rPr>
          <w:rFonts w:eastAsiaTheme="majorEastAsia" w:cs="Arial"/>
          <w:color w:val="2E74B5" w:themeColor="accent1" w:themeShade="BF"/>
          <w:sz w:val="22"/>
        </w:rPr>
      </w:pPr>
      <w:r w:rsidRPr="000264FB">
        <w:rPr>
          <w:rFonts w:cs="Arial"/>
          <w:sz w:val="22"/>
        </w:rPr>
        <w:t xml:space="preserve">Implementační zásady </w:t>
      </w:r>
      <w:proofErr w:type="gramStart"/>
      <w:r w:rsidRPr="000264FB">
        <w:rPr>
          <w:rFonts w:cs="Arial"/>
          <w:sz w:val="22"/>
        </w:rPr>
        <w:t>řeší</w:t>
      </w:r>
      <w:proofErr w:type="gramEnd"/>
      <w:r w:rsidRPr="000264FB">
        <w:rPr>
          <w:rFonts w:cs="Arial"/>
          <w:sz w:val="22"/>
        </w:rPr>
        <w:t xml:space="preserve"> jak fázi přípravy, tak i fázi naplňování akčních plánů restrukturalizace, a jejich respektování je nezbytnou podmínkou úspěšné realizace a zajištění jednotného postupu a kontinuity v dlouhodobém procesu restrukturalizace.</w:t>
      </w:r>
    </w:p>
    <w:p w14:paraId="66582F7C" w14:textId="77777777" w:rsidR="000264FB" w:rsidRDefault="000264FB" w:rsidP="000264FB">
      <w:pPr>
        <w:pStyle w:val="Nadpis1"/>
        <w:rPr>
          <w:rFonts w:cs="Arial"/>
        </w:rPr>
      </w:pPr>
      <w:bookmarkStart w:id="6" w:name="_Toc175743028"/>
      <w:r w:rsidRPr="00187377">
        <w:rPr>
          <w:rFonts w:cs="Arial"/>
        </w:rPr>
        <w:t xml:space="preserve">Organizační </w:t>
      </w:r>
      <w:commentRangeStart w:id="7"/>
      <w:r w:rsidRPr="00187377">
        <w:rPr>
          <w:rFonts w:cs="Arial"/>
        </w:rPr>
        <w:t>struktura</w:t>
      </w:r>
      <w:commentRangeEnd w:id="7"/>
      <w:r>
        <w:rPr>
          <w:rStyle w:val="Odkaznakoment"/>
          <w:rFonts w:asciiTheme="minorHAnsi" w:eastAsiaTheme="minorHAnsi" w:hAnsiTheme="minorHAnsi" w:cstheme="minorBidi"/>
          <w:color w:val="auto"/>
        </w:rPr>
        <w:commentReference w:id="7"/>
      </w:r>
      <w:bookmarkEnd w:id="6"/>
    </w:p>
    <w:p w14:paraId="6022887A" w14:textId="77777777" w:rsidR="000264FB" w:rsidRPr="003F694A" w:rsidRDefault="000264FB" w:rsidP="000264FB">
      <w:r>
        <w:rPr>
          <w:noProof/>
          <w:lang w:eastAsia="cs-CZ"/>
        </w:rPr>
        <w:drawing>
          <wp:inline distT="0" distB="0" distL="0" distR="0" wp14:anchorId="429FEFFB" wp14:editId="0CC65B1C">
            <wp:extent cx="5486400" cy="3200400"/>
            <wp:effectExtent l="0" t="0" r="0" b="571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27DAA7C2" w14:textId="5AC8CD63" w:rsidR="000264FB" w:rsidRPr="000264FB" w:rsidRDefault="000264FB" w:rsidP="008970A9">
      <w:pPr>
        <w:jc w:val="both"/>
        <w:rPr>
          <w:rFonts w:cs="Arial"/>
          <w:sz w:val="22"/>
        </w:rPr>
      </w:pPr>
      <w:r w:rsidRPr="000264FB">
        <w:rPr>
          <w:rFonts w:cs="Arial"/>
          <w:sz w:val="22"/>
        </w:rPr>
        <w:t>Na národní úrovni je nositelem Strategie RE:START a Souhrnného akčního plánu vláda ČR. Hlavním garantem je Ministerstvo pro místní rozvoj (dále jen „MMR“). Za účelem efektivní implementace Strategie</w:t>
      </w:r>
      <w:r w:rsidR="009E5C8D">
        <w:rPr>
          <w:rFonts w:cs="Arial"/>
          <w:sz w:val="22"/>
        </w:rPr>
        <w:t xml:space="preserve"> RE:START</w:t>
      </w:r>
      <w:r w:rsidRPr="000264FB">
        <w:rPr>
          <w:rFonts w:cs="Arial"/>
          <w:sz w:val="22"/>
        </w:rPr>
        <w:t xml:space="preserve"> je ustanoven výkonný tým pracovníků pod Oddělením ohrožených území a regionů v rámci Odboru regionální politiky MMR, který zajišťuje stálou spolupráci se zástupci jednotlivých resortů a dotčených regionálních stálých konferencí. Pro úspěšnou implementaci Strategie</w:t>
      </w:r>
      <w:r w:rsidR="009E5C8D">
        <w:rPr>
          <w:rFonts w:cs="Arial"/>
          <w:sz w:val="22"/>
        </w:rPr>
        <w:t xml:space="preserve"> RE:START</w:t>
      </w:r>
      <w:r w:rsidRPr="000264FB">
        <w:rPr>
          <w:rFonts w:cs="Arial"/>
          <w:sz w:val="22"/>
        </w:rPr>
        <w:t xml:space="preserve"> je nezbytná úzká spolupráce s dalšími dotčenými resorty. V rámci organizační struktury je od roku 2021 Ministerstvo životního prostředí, které plní roli řídicího orgánu Programu Spravedlivá transformace (dále jen OPST). Státní fond životního prostředí je zprostředkujícím subjektem OPST. </w:t>
      </w:r>
    </w:p>
    <w:p w14:paraId="0A62857C" w14:textId="77777777" w:rsidR="000264FB" w:rsidRPr="000264FB" w:rsidRDefault="000264FB" w:rsidP="008970A9">
      <w:pPr>
        <w:jc w:val="both"/>
        <w:rPr>
          <w:rFonts w:eastAsiaTheme="minorEastAsia" w:cs="Arial"/>
          <w:noProof/>
          <w:color w:val="000000"/>
          <w:sz w:val="22"/>
          <w:lang w:eastAsia="cs-CZ"/>
        </w:rPr>
      </w:pPr>
      <w:r w:rsidRPr="000264FB">
        <w:rPr>
          <w:rFonts w:cs="Arial"/>
          <w:sz w:val="22"/>
        </w:rPr>
        <w:lastRenderedPageBreak/>
        <w:t xml:space="preserve">Součástí řídící struktury, s vedoucí a koordinační rolí MMR, je na pracovní úrovni průřezový poradní tým, jako poradní orgán ministra pro místní rozvoj.  </w:t>
      </w:r>
    </w:p>
    <w:p w14:paraId="00A7AEE2" w14:textId="77777777" w:rsidR="000264FB" w:rsidRPr="00187377" w:rsidRDefault="000264FB" w:rsidP="008970A9">
      <w:pPr>
        <w:pStyle w:val="Nadpis2"/>
        <w:jc w:val="both"/>
        <w:rPr>
          <w:rFonts w:cs="Arial"/>
        </w:rPr>
      </w:pPr>
      <w:bookmarkStart w:id="8" w:name="_Toc175743029"/>
      <w:r w:rsidRPr="00187377">
        <w:rPr>
          <w:rFonts w:cs="Arial"/>
        </w:rPr>
        <w:t>Výkonný tým</w:t>
      </w:r>
      <w:bookmarkEnd w:id="8"/>
    </w:p>
    <w:p w14:paraId="3BECB67F"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Je veden ředitelem / ředitelkou Odboru regionální politiky – MMR, v sekci strategií a analýz regionální politiky a politiky bydlení.</w:t>
      </w:r>
    </w:p>
    <w:p w14:paraId="0321E7EE"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Činnost výkonného týmu je od 01.01.2023 hrazena z projektu RE:START III, registrační číslo projektu: CZ.10.04.01/00/22_004/0000001. Projekt je spolufinancován Evropskou unií.</w:t>
      </w:r>
    </w:p>
    <w:p w14:paraId="46CB4078"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 xml:space="preserve">Komunikuje s resorty a regionálními stálými konferencemi.  </w:t>
      </w:r>
    </w:p>
    <w:p w14:paraId="7E751F79"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 xml:space="preserve">Rozpracovává opatření vygenerovaná ze strany expertů, regionálních stálých konferencí, jejich pracovních skupin, nebo návrhy aktérů z území strukturálně postižených krajů,  a to ve spolupráci s dotčenými resorty. </w:t>
      </w:r>
    </w:p>
    <w:p w14:paraId="6E455AAB"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 xml:space="preserve">V případě hlavních rozvojových projektů rozpracovává dané návrhy přímo s nositelem opatření (např. vysokými školami, podnikatelskými subjekty). </w:t>
      </w:r>
    </w:p>
    <w:p w14:paraId="75B439BE"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 xml:space="preserve">Průběžně monitoruje plnění opatření akčního plánu a informuje o aktuálním stavu plnění, zpravidla ve Zprávě o realizaci opatření souhrnných akčních plánů hospodářské restrukturalizace Ústeckého, Moravskoslezského a Karlovarského kraje. </w:t>
      </w:r>
    </w:p>
    <w:p w14:paraId="1E183652" w14:textId="77777777" w:rsidR="000264FB" w:rsidRPr="000264FB" w:rsidRDefault="000264FB" w:rsidP="002E4092">
      <w:pPr>
        <w:pStyle w:val="Odstavecseseznamem"/>
        <w:numPr>
          <w:ilvl w:val="0"/>
          <w:numId w:val="22"/>
        </w:numPr>
        <w:jc w:val="both"/>
        <w:rPr>
          <w:rFonts w:cs="Arial"/>
          <w:sz w:val="22"/>
        </w:rPr>
      </w:pPr>
      <w:r w:rsidRPr="000264FB">
        <w:rPr>
          <w:rFonts w:cs="Arial"/>
          <w:sz w:val="22"/>
        </w:rPr>
        <w:t xml:space="preserve">Je odpovědný za celkovou komunikační strategii vůči veřejnosti. </w:t>
      </w:r>
    </w:p>
    <w:p w14:paraId="21E8AADA" w14:textId="0E289C22" w:rsidR="000264FB" w:rsidRPr="000264FB" w:rsidRDefault="000264FB" w:rsidP="002E4092">
      <w:pPr>
        <w:pStyle w:val="Odstavecseseznamem"/>
        <w:numPr>
          <w:ilvl w:val="0"/>
          <w:numId w:val="22"/>
        </w:numPr>
        <w:spacing w:after="0" w:line="276" w:lineRule="auto"/>
        <w:contextualSpacing w:val="0"/>
        <w:jc w:val="both"/>
        <w:rPr>
          <w:rFonts w:cs="Arial"/>
          <w:color w:val="FF0000"/>
          <w:sz w:val="22"/>
        </w:rPr>
      </w:pPr>
      <w:r w:rsidRPr="000264FB">
        <w:rPr>
          <w:rFonts w:cs="Arial"/>
          <w:sz w:val="22"/>
        </w:rPr>
        <w:t xml:space="preserve">Plní roli národního kontaktního místa ve věci zapojení českých regionů do evropských platforem jako </w:t>
      </w:r>
      <w:r w:rsidRPr="000264FB">
        <w:rPr>
          <w:rFonts w:cs="Arial"/>
          <w:color w:val="26324B"/>
          <w:sz w:val="22"/>
        </w:rPr>
        <w:t>Coal regions in transition Initiative (CRiT</w:t>
      </w:r>
      <w:r w:rsidR="001D0CFE">
        <w:rPr>
          <w:rFonts w:cs="Arial"/>
          <w:color w:val="26324B"/>
          <w:sz w:val="22"/>
        </w:rPr>
        <w:t>I</w:t>
      </w:r>
      <w:r w:rsidRPr="000264FB">
        <w:rPr>
          <w:rFonts w:cs="Arial"/>
          <w:color w:val="26324B"/>
          <w:sz w:val="22"/>
        </w:rPr>
        <w:t>)</w:t>
      </w:r>
      <w:r w:rsidRPr="000264FB">
        <w:rPr>
          <w:rFonts w:cs="Arial"/>
          <w:sz w:val="22"/>
        </w:rPr>
        <w:t xml:space="preserve"> nebo Just Transition Platform</w:t>
      </w:r>
      <w:r w:rsidRPr="000264FB" w:rsidDel="00F55AAF">
        <w:rPr>
          <w:rFonts w:cs="Arial"/>
          <w:sz w:val="22"/>
        </w:rPr>
        <w:t xml:space="preserve"> </w:t>
      </w:r>
      <w:r w:rsidRPr="000264FB">
        <w:rPr>
          <w:rFonts w:cs="Arial"/>
          <w:sz w:val="22"/>
        </w:rPr>
        <w:t xml:space="preserve">a s agendou těchto platforem provázaných problematik. </w:t>
      </w:r>
    </w:p>
    <w:p w14:paraId="75EF3679" w14:textId="77777777" w:rsidR="000264FB" w:rsidRPr="00187377" w:rsidRDefault="000264FB" w:rsidP="008970A9">
      <w:pPr>
        <w:pStyle w:val="Nadpis2"/>
        <w:jc w:val="both"/>
        <w:rPr>
          <w:rFonts w:cs="Arial"/>
        </w:rPr>
      </w:pPr>
      <w:bookmarkStart w:id="9" w:name="_Toc175743030"/>
      <w:r w:rsidRPr="00187377">
        <w:rPr>
          <w:rFonts w:cs="Arial"/>
        </w:rPr>
        <w:t>Poradní tým</w:t>
      </w:r>
      <w:bookmarkEnd w:id="9"/>
    </w:p>
    <w:p w14:paraId="7509B285" w14:textId="77777777" w:rsidR="000264FB" w:rsidRPr="000264FB" w:rsidRDefault="000264FB" w:rsidP="002E4092">
      <w:pPr>
        <w:pStyle w:val="Odstavecseseznamem"/>
        <w:numPr>
          <w:ilvl w:val="0"/>
          <w:numId w:val="22"/>
        </w:numPr>
        <w:spacing w:line="276" w:lineRule="auto"/>
        <w:jc w:val="both"/>
        <w:rPr>
          <w:rFonts w:cs="Arial"/>
          <w:sz w:val="22"/>
        </w:rPr>
      </w:pPr>
      <w:r w:rsidRPr="000264FB">
        <w:rPr>
          <w:rFonts w:cs="Arial"/>
          <w:sz w:val="22"/>
        </w:rPr>
        <w:t>Je veden z úrovně ministra pro místní rozvoj.</w:t>
      </w:r>
    </w:p>
    <w:p w14:paraId="10128E2F" w14:textId="77777777" w:rsidR="000264FB" w:rsidRPr="000264FB" w:rsidRDefault="000264FB" w:rsidP="002E4092">
      <w:pPr>
        <w:pStyle w:val="Odstavecseseznamem"/>
        <w:numPr>
          <w:ilvl w:val="0"/>
          <w:numId w:val="22"/>
        </w:numPr>
        <w:spacing w:after="0" w:line="276" w:lineRule="auto"/>
        <w:contextualSpacing w:val="0"/>
        <w:jc w:val="both"/>
        <w:rPr>
          <w:rFonts w:cs="Arial"/>
          <w:sz w:val="22"/>
        </w:rPr>
      </w:pPr>
      <w:r w:rsidRPr="000264FB">
        <w:rPr>
          <w:rFonts w:cs="Arial"/>
          <w:sz w:val="22"/>
        </w:rPr>
        <w:t>Na pracovní úrovni zastřešuje proces implementace Souhrnného akčního plánu.</w:t>
      </w:r>
    </w:p>
    <w:p w14:paraId="32E549E9" w14:textId="77777777" w:rsidR="000264FB" w:rsidRPr="000264FB" w:rsidRDefault="000264FB" w:rsidP="002E4092">
      <w:pPr>
        <w:pStyle w:val="Odstavecseseznamem"/>
        <w:numPr>
          <w:ilvl w:val="0"/>
          <w:numId w:val="22"/>
        </w:numPr>
        <w:jc w:val="both"/>
        <w:rPr>
          <w:rFonts w:cs="Arial"/>
          <w:sz w:val="22"/>
        </w:rPr>
      </w:pPr>
      <w:r w:rsidRPr="000264FB">
        <w:rPr>
          <w:rFonts w:cs="Arial"/>
          <w:sz w:val="22"/>
        </w:rPr>
        <w:t>Na jednání jsou přizvány resorty dle potřeby, resp. dle projednávaného tématu, případně zástupci dotčených regionů či krajských tripartit.</w:t>
      </w:r>
    </w:p>
    <w:p w14:paraId="21514943" w14:textId="77777777" w:rsidR="000264FB" w:rsidRDefault="000264FB" w:rsidP="008970A9">
      <w:pPr>
        <w:pStyle w:val="Nadpis2"/>
        <w:jc w:val="both"/>
        <w:rPr>
          <w:rFonts w:cs="Arial"/>
        </w:rPr>
      </w:pPr>
      <w:bookmarkStart w:id="10" w:name="_Toc175743031"/>
      <w:r>
        <w:rPr>
          <w:rFonts w:cs="Arial"/>
        </w:rPr>
        <w:t>Regionální stálé konference</w:t>
      </w:r>
      <w:bookmarkEnd w:id="10"/>
    </w:p>
    <w:p w14:paraId="46744C1B" w14:textId="542D9EDC" w:rsidR="000264FB" w:rsidRPr="000264FB" w:rsidRDefault="000264FB" w:rsidP="008970A9">
      <w:pPr>
        <w:spacing w:line="276" w:lineRule="auto"/>
        <w:jc w:val="both"/>
        <w:rPr>
          <w:rFonts w:cs="Arial"/>
          <w:sz w:val="22"/>
        </w:rPr>
      </w:pPr>
      <w:r w:rsidRPr="000264FB">
        <w:rPr>
          <w:rFonts w:cs="Arial"/>
          <w:sz w:val="22"/>
        </w:rPr>
        <w:t xml:space="preserve">Na regionální úrovni jsou garantem realizace regionální stálé konference (dále jen „RSK“), resp. hejtmani, kteří jim předsedají. </w:t>
      </w:r>
      <w:r w:rsidRPr="000264FB">
        <w:rPr>
          <w:rFonts w:cs="Arial"/>
          <w:b/>
          <w:sz w:val="22"/>
        </w:rPr>
        <w:t>Za účelem řízení Strategie</w:t>
      </w:r>
      <w:r w:rsidR="009E5C8D">
        <w:rPr>
          <w:rFonts w:cs="Arial"/>
          <w:b/>
          <w:sz w:val="22"/>
        </w:rPr>
        <w:t xml:space="preserve"> RE:START</w:t>
      </w:r>
      <w:r w:rsidRPr="000264FB">
        <w:rPr>
          <w:rFonts w:cs="Arial"/>
          <w:b/>
          <w:sz w:val="22"/>
        </w:rPr>
        <w:t xml:space="preserve"> je svoláváno jednání RSK</w:t>
      </w:r>
      <w:r w:rsidRPr="000264FB">
        <w:rPr>
          <w:rFonts w:cs="Arial"/>
          <w:sz w:val="22"/>
        </w:rPr>
        <w:t xml:space="preserve"> </w:t>
      </w:r>
      <w:r w:rsidRPr="000264FB">
        <w:rPr>
          <w:rFonts w:cs="Arial"/>
          <w:b/>
          <w:sz w:val="22"/>
        </w:rPr>
        <w:t>rozšířené o zástupce krajské tripartity</w:t>
      </w:r>
      <w:r w:rsidRPr="000264FB">
        <w:rPr>
          <w:rFonts w:cs="Arial"/>
          <w:sz w:val="22"/>
        </w:rPr>
        <w:t xml:space="preserve"> daného kraje. Toto složení garantuje zapojení zástupců krajských i obecních samospráv, hospodářských a sociálních partnerů, vysokých škol, zaměstnavatelských svazů apod. Jednání rozšířené RSK svolává její předseda (hejtman) minimálně 2krát ročně.</w:t>
      </w:r>
    </w:p>
    <w:p w14:paraId="76988D8F" w14:textId="568A2433" w:rsidR="000264FB" w:rsidRPr="000264FB" w:rsidRDefault="000264FB" w:rsidP="008970A9">
      <w:pPr>
        <w:spacing w:line="276" w:lineRule="auto"/>
        <w:jc w:val="both"/>
        <w:rPr>
          <w:rFonts w:cs="Arial"/>
          <w:sz w:val="22"/>
        </w:rPr>
      </w:pPr>
      <w:r w:rsidRPr="000264FB">
        <w:rPr>
          <w:rFonts w:cs="Arial"/>
          <w:sz w:val="22"/>
        </w:rPr>
        <w:t xml:space="preserve">Role jednotlivých aktérů uvedených v organizační struktuře jsou blíže popsány níže, a to ve vztahu k procesu přípravy a implementace Strategie </w:t>
      </w:r>
      <w:r w:rsidR="009E5C8D">
        <w:rPr>
          <w:rFonts w:cs="Arial"/>
          <w:sz w:val="22"/>
        </w:rPr>
        <w:t>RE:START</w:t>
      </w:r>
      <w:r w:rsidR="0059113D">
        <w:rPr>
          <w:rFonts w:cs="Arial"/>
          <w:sz w:val="22"/>
        </w:rPr>
        <w:t xml:space="preserve"> </w:t>
      </w:r>
      <w:r w:rsidRPr="000264FB">
        <w:rPr>
          <w:rFonts w:cs="Arial"/>
          <w:sz w:val="22"/>
        </w:rPr>
        <w:t xml:space="preserve">a Souhrnného akčního plánu. </w:t>
      </w:r>
    </w:p>
    <w:p w14:paraId="557B9A6A" w14:textId="77777777" w:rsidR="000264FB" w:rsidRPr="000264FB" w:rsidRDefault="000264FB" w:rsidP="008970A9">
      <w:pPr>
        <w:spacing w:line="276" w:lineRule="auto"/>
        <w:jc w:val="both"/>
        <w:rPr>
          <w:rFonts w:cs="Arial"/>
          <w:sz w:val="22"/>
        </w:rPr>
      </w:pPr>
      <w:r w:rsidRPr="000264FB">
        <w:rPr>
          <w:rFonts w:cs="Arial"/>
          <w:sz w:val="22"/>
        </w:rPr>
        <w:t>Pro účely</w:t>
      </w:r>
      <w:r w:rsidRPr="000264FB">
        <w:rPr>
          <w:rFonts w:cs="Arial"/>
          <w:b/>
          <w:sz w:val="22"/>
        </w:rPr>
        <w:t xml:space="preserve"> </w:t>
      </w:r>
      <w:r w:rsidRPr="000264FB">
        <w:rPr>
          <w:rFonts w:cs="Arial"/>
          <w:sz w:val="22"/>
        </w:rPr>
        <w:t xml:space="preserve">informování širšího spektra klíčových aktérů je </w:t>
      </w:r>
      <w:r w:rsidRPr="000264FB">
        <w:rPr>
          <w:rFonts w:cs="Arial"/>
          <w:b/>
          <w:sz w:val="22"/>
        </w:rPr>
        <w:t>svolávána „Konference Strategie restrukturalizace“</w:t>
      </w:r>
      <w:r w:rsidRPr="000264FB">
        <w:rPr>
          <w:rFonts w:cs="Arial"/>
          <w:sz w:val="22"/>
        </w:rPr>
        <w:t xml:space="preserve"> (dále jen „Konference restrukturalizace“). Jednání Konference restrukturalizace je diskusní a konzultační, nikoli schvalovací. </w:t>
      </w:r>
    </w:p>
    <w:p w14:paraId="01DFAAE7" w14:textId="77777777" w:rsidR="000264FB" w:rsidRPr="000264FB" w:rsidRDefault="000264FB" w:rsidP="008970A9">
      <w:pPr>
        <w:spacing w:line="276" w:lineRule="auto"/>
        <w:jc w:val="both"/>
        <w:rPr>
          <w:rFonts w:cs="Arial"/>
          <w:sz w:val="22"/>
        </w:rPr>
      </w:pPr>
      <w:r w:rsidRPr="000264FB">
        <w:rPr>
          <w:rFonts w:cs="Arial"/>
          <w:sz w:val="22"/>
        </w:rPr>
        <w:t>Konferenci restrukturalizace svolává předseda vlády nejméně 1 x za 2 roky, obvykle před předložením aktualizovaného akčního plánu vládě (organizačně zajišťuje MMR) za účasti:</w:t>
      </w:r>
    </w:p>
    <w:p w14:paraId="7CAC23F3" w14:textId="77777777" w:rsidR="000264FB" w:rsidRPr="000264FB" w:rsidRDefault="000264FB" w:rsidP="002E4092">
      <w:pPr>
        <w:pStyle w:val="Odstavecseseznamem"/>
        <w:numPr>
          <w:ilvl w:val="0"/>
          <w:numId w:val="17"/>
        </w:numPr>
        <w:spacing w:line="276" w:lineRule="auto"/>
        <w:jc w:val="both"/>
        <w:rPr>
          <w:rFonts w:cs="Arial"/>
          <w:sz w:val="22"/>
        </w:rPr>
      </w:pPr>
      <w:r w:rsidRPr="000264FB">
        <w:rPr>
          <w:rFonts w:cs="Arial"/>
          <w:sz w:val="22"/>
        </w:rPr>
        <w:t>ministrů/ náměstků člena vlády/ vrchních ředitelů věcně příslušných sekcí za naplnění restrukturalizace,</w:t>
      </w:r>
    </w:p>
    <w:p w14:paraId="72EC1EC8" w14:textId="77777777" w:rsidR="000264FB" w:rsidRPr="000264FB" w:rsidRDefault="000264FB" w:rsidP="002E4092">
      <w:pPr>
        <w:pStyle w:val="Odstavecseseznamem"/>
        <w:numPr>
          <w:ilvl w:val="0"/>
          <w:numId w:val="17"/>
        </w:numPr>
        <w:spacing w:line="276" w:lineRule="auto"/>
        <w:jc w:val="both"/>
        <w:rPr>
          <w:rFonts w:cs="Arial"/>
          <w:sz w:val="22"/>
        </w:rPr>
      </w:pPr>
      <w:r w:rsidRPr="000264FB">
        <w:rPr>
          <w:rFonts w:cs="Arial"/>
          <w:sz w:val="22"/>
        </w:rPr>
        <w:t>zástupců Parlamentu ČR,</w:t>
      </w:r>
    </w:p>
    <w:p w14:paraId="6765D903" w14:textId="77777777" w:rsidR="000264FB" w:rsidRPr="000264FB" w:rsidRDefault="000264FB" w:rsidP="002E4092">
      <w:pPr>
        <w:pStyle w:val="Odstavecseseznamem"/>
        <w:numPr>
          <w:ilvl w:val="0"/>
          <w:numId w:val="17"/>
        </w:numPr>
        <w:spacing w:line="276" w:lineRule="auto"/>
        <w:jc w:val="both"/>
        <w:rPr>
          <w:rFonts w:cs="Arial"/>
          <w:sz w:val="22"/>
        </w:rPr>
      </w:pPr>
      <w:r w:rsidRPr="000264FB">
        <w:rPr>
          <w:rFonts w:cs="Arial"/>
          <w:sz w:val="22"/>
        </w:rPr>
        <w:lastRenderedPageBreak/>
        <w:t>zástupců RSK a Rad hospodářské a sociální dohody příslušných regionů,</w:t>
      </w:r>
    </w:p>
    <w:p w14:paraId="494339C1" w14:textId="77777777" w:rsidR="000264FB" w:rsidRPr="000264FB" w:rsidRDefault="000264FB" w:rsidP="002E4092">
      <w:pPr>
        <w:pStyle w:val="Odstavecseseznamem"/>
        <w:numPr>
          <w:ilvl w:val="0"/>
          <w:numId w:val="17"/>
        </w:numPr>
        <w:spacing w:line="276" w:lineRule="auto"/>
        <w:jc w:val="both"/>
        <w:rPr>
          <w:rFonts w:cs="Arial"/>
          <w:sz w:val="22"/>
        </w:rPr>
      </w:pPr>
      <w:r w:rsidRPr="000264FB">
        <w:rPr>
          <w:rFonts w:cs="Arial"/>
          <w:sz w:val="22"/>
        </w:rPr>
        <w:t>zástupců Úřadu vlády ČR,</w:t>
      </w:r>
    </w:p>
    <w:p w14:paraId="330B9002" w14:textId="77777777" w:rsidR="000264FB" w:rsidRPr="000264FB" w:rsidRDefault="000264FB" w:rsidP="002E4092">
      <w:pPr>
        <w:pStyle w:val="Odstavecseseznamem"/>
        <w:numPr>
          <w:ilvl w:val="0"/>
          <w:numId w:val="17"/>
        </w:numPr>
        <w:spacing w:line="276" w:lineRule="auto"/>
        <w:jc w:val="both"/>
        <w:rPr>
          <w:rFonts w:cs="Arial"/>
          <w:sz w:val="22"/>
        </w:rPr>
      </w:pPr>
      <w:r w:rsidRPr="000264FB">
        <w:rPr>
          <w:rFonts w:cs="Arial"/>
          <w:sz w:val="22"/>
        </w:rPr>
        <w:t>odborných hostů a přednášejících.</w:t>
      </w:r>
    </w:p>
    <w:p w14:paraId="5DA06FF8" w14:textId="1F2CE04F" w:rsidR="000264FB" w:rsidRPr="000264FB" w:rsidRDefault="000264FB" w:rsidP="008970A9">
      <w:pPr>
        <w:jc w:val="both"/>
        <w:rPr>
          <w:rFonts w:cs="Arial"/>
          <w:sz w:val="22"/>
        </w:rPr>
      </w:pPr>
      <w:r w:rsidRPr="000264FB">
        <w:rPr>
          <w:rFonts w:cs="Arial"/>
          <w:sz w:val="22"/>
        </w:rPr>
        <w:t>Činnost RSK zajišťují sekretariáty RSK, které v dotčených krajích komunikují se zástupci výkonného týmu a poskytují součinnosti při implementaci a naplňování Strategie</w:t>
      </w:r>
      <w:r w:rsidR="009E5C8D">
        <w:rPr>
          <w:rFonts w:cs="Arial"/>
          <w:sz w:val="22"/>
        </w:rPr>
        <w:t xml:space="preserve"> RE:START</w:t>
      </w:r>
      <w:r w:rsidRPr="000264FB">
        <w:rPr>
          <w:rFonts w:cs="Arial"/>
          <w:sz w:val="22"/>
        </w:rPr>
        <w:t xml:space="preserve"> a akčních plánů.</w:t>
      </w:r>
    </w:p>
    <w:p w14:paraId="6EF475BA" w14:textId="77777777" w:rsidR="000264FB" w:rsidRPr="00187377" w:rsidRDefault="000264FB" w:rsidP="008970A9">
      <w:pPr>
        <w:pStyle w:val="Nadpis1"/>
        <w:jc w:val="both"/>
        <w:rPr>
          <w:rFonts w:cs="Arial"/>
        </w:rPr>
      </w:pPr>
      <w:bookmarkStart w:id="11" w:name="_Toc175743032"/>
      <w:r w:rsidRPr="00187377">
        <w:rPr>
          <w:rFonts w:cs="Arial"/>
        </w:rPr>
        <w:t xml:space="preserve">Příprava a projednávání </w:t>
      </w:r>
      <w:r>
        <w:rPr>
          <w:rFonts w:cs="Arial"/>
        </w:rPr>
        <w:t>a</w:t>
      </w:r>
      <w:r w:rsidRPr="00187377">
        <w:rPr>
          <w:rFonts w:cs="Arial"/>
        </w:rPr>
        <w:t>kčního plánu</w:t>
      </w:r>
      <w:bookmarkEnd w:id="11"/>
    </w:p>
    <w:p w14:paraId="33554B58" w14:textId="77777777" w:rsidR="000264FB" w:rsidRPr="00187377" w:rsidRDefault="000264FB" w:rsidP="008970A9">
      <w:pPr>
        <w:pStyle w:val="Nadpis3"/>
        <w:jc w:val="both"/>
        <w:rPr>
          <w:rFonts w:cs="Arial"/>
        </w:rPr>
      </w:pPr>
      <w:bookmarkStart w:id="12" w:name="_Toc175743033"/>
      <w:r w:rsidRPr="00187377">
        <w:rPr>
          <w:rFonts w:cs="Arial"/>
        </w:rPr>
        <w:t>Regionální úroveň</w:t>
      </w:r>
      <w:bookmarkEnd w:id="12"/>
      <w:r w:rsidRPr="00187377">
        <w:rPr>
          <w:rFonts w:cs="Arial"/>
        </w:rPr>
        <w:t xml:space="preserve"> </w:t>
      </w:r>
    </w:p>
    <w:p w14:paraId="6A3842A9" w14:textId="23FCC827" w:rsidR="000264FB" w:rsidRPr="000264FB" w:rsidRDefault="000264FB" w:rsidP="008970A9">
      <w:pPr>
        <w:spacing w:line="276" w:lineRule="auto"/>
        <w:jc w:val="both"/>
        <w:rPr>
          <w:rFonts w:cs="Arial"/>
          <w:sz w:val="22"/>
        </w:rPr>
      </w:pPr>
      <w:r w:rsidRPr="000264FB">
        <w:rPr>
          <w:rFonts w:cs="Arial"/>
          <w:sz w:val="22"/>
        </w:rPr>
        <w:t xml:space="preserve">Hejtmani </w:t>
      </w:r>
      <w:r w:rsidRPr="000264FB">
        <w:rPr>
          <w:rFonts w:cs="Arial"/>
          <w:b/>
          <w:sz w:val="22"/>
        </w:rPr>
        <w:t xml:space="preserve">prostřednictvím RSK </w:t>
      </w:r>
      <w:r w:rsidRPr="000264FB">
        <w:rPr>
          <w:rFonts w:cs="Arial"/>
          <w:sz w:val="22"/>
        </w:rPr>
        <w:t xml:space="preserve">plní </w:t>
      </w:r>
      <w:r w:rsidRPr="000264FB">
        <w:rPr>
          <w:rFonts w:cs="Arial"/>
          <w:b/>
          <w:sz w:val="22"/>
        </w:rPr>
        <w:t>roli garanta Strategie</w:t>
      </w:r>
      <w:r w:rsidR="009E5C8D">
        <w:rPr>
          <w:rFonts w:cs="Arial"/>
          <w:b/>
          <w:sz w:val="22"/>
        </w:rPr>
        <w:t xml:space="preserve"> RE:START</w:t>
      </w:r>
      <w:r w:rsidRPr="000264FB">
        <w:rPr>
          <w:rFonts w:cs="Arial"/>
          <w:b/>
          <w:sz w:val="22"/>
        </w:rPr>
        <w:t xml:space="preserve"> na regionální úrovni</w:t>
      </w:r>
      <w:r w:rsidRPr="000264FB">
        <w:rPr>
          <w:rFonts w:cs="Arial"/>
          <w:sz w:val="22"/>
        </w:rPr>
        <w:t>, který reportuje její plnění Ministerstvu pro místní rozvoj. Hejtmani/RSK přitom zastupují zájmy regionů vůči centru na základě znalostí místních podmínek a potřeb s cílem zajistit korektní naplňování Strategie</w:t>
      </w:r>
      <w:r w:rsidR="009E5C8D">
        <w:rPr>
          <w:rFonts w:cs="Arial"/>
          <w:sz w:val="22"/>
        </w:rPr>
        <w:t xml:space="preserve"> RE:START</w:t>
      </w:r>
      <w:r w:rsidRPr="000264FB">
        <w:rPr>
          <w:rFonts w:cs="Arial"/>
          <w:sz w:val="22"/>
        </w:rPr>
        <w:t>, dosahování výsledků a efektivní využívání veřejných zdrojů uvolněných pro realizaci Strategie</w:t>
      </w:r>
      <w:r w:rsidR="009E5C8D">
        <w:rPr>
          <w:rFonts w:cs="Arial"/>
          <w:sz w:val="22"/>
        </w:rPr>
        <w:t xml:space="preserve"> RE:START</w:t>
      </w:r>
      <w:r w:rsidRPr="000264FB">
        <w:rPr>
          <w:rFonts w:cs="Arial"/>
          <w:sz w:val="22"/>
        </w:rPr>
        <w:t>, přitom prostřednictvím RSK a jejích pracovních skupin zajišťují zapojení klíčových aktérů z území při přípravě podkladů pro tvorbu akčního plánu Strategie</w:t>
      </w:r>
      <w:r w:rsidR="009E5C8D">
        <w:rPr>
          <w:rFonts w:cs="Arial"/>
          <w:sz w:val="22"/>
        </w:rPr>
        <w:t xml:space="preserve"> RE:START</w:t>
      </w:r>
      <w:r w:rsidRPr="000264FB">
        <w:rPr>
          <w:rFonts w:cs="Arial"/>
          <w:sz w:val="22"/>
        </w:rPr>
        <w:t>.</w:t>
      </w:r>
    </w:p>
    <w:p w14:paraId="0B62497B" w14:textId="77777777" w:rsidR="000264FB" w:rsidRPr="000264FB" w:rsidRDefault="000264FB" w:rsidP="008970A9">
      <w:pPr>
        <w:spacing w:line="276" w:lineRule="auto"/>
        <w:jc w:val="both"/>
        <w:rPr>
          <w:rFonts w:cs="Arial"/>
          <w:sz w:val="22"/>
        </w:rPr>
      </w:pPr>
      <w:r w:rsidRPr="000264FB">
        <w:rPr>
          <w:rFonts w:cs="Arial"/>
          <w:sz w:val="22"/>
        </w:rPr>
        <w:t xml:space="preserve">V jednotlivých krajích se doporučuje RSK, aby ustanovily pracovní skupiny dle pilířů restrukturalizace, případně pro tyto účely využily stávající pracovní skupiny. Hejtmani stanoví kontaktní osoby pro komunikaci v rámci implementační struktury. </w:t>
      </w:r>
    </w:p>
    <w:p w14:paraId="54A99F5E" w14:textId="77777777" w:rsidR="000264FB" w:rsidRPr="00187377" w:rsidRDefault="000264FB" w:rsidP="008970A9">
      <w:pPr>
        <w:pStyle w:val="Nadpis3"/>
        <w:jc w:val="both"/>
        <w:rPr>
          <w:rFonts w:cs="Arial"/>
        </w:rPr>
      </w:pPr>
      <w:bookmarkStart w:id="13" w:name="_Toc175743034"/>
      <w:r w:rsidRPr="00187377">
        <w:rPr>
          <w:rFonts w:cs="Arial"/>
        </w:rPr>
        <w:t>Ministerstvo pro místní rozvoj</w:t>
      </w:r>
      <w:bookmarkEnd w:id="13"/>
      <w:r w:rsidRPr="00187377">
        <w:rPr>
          <w:rFonts w:cs="Arial"/>
        </w:rPr>
        <w:t xml:space="preserve"> </w:t>
      </w:r>
    </w:p>
    <w:p w14:paraId="0A53AF05" w14:textId="28F4FDA6" w:rsidR="000264FB" w:rsidRPr="000264FB" w:rsidRDefault="000264FB" w:rsidP="008970A9">
      <w:pPr>
        <w:spacing w:line="276" w:lineRule="auto"/>
        <w:jc w:val="both"/>
        <w:rPr>
          <w:rFonts w:cs="Arial"/>
          <w:sz w:val="22"/>
        </w:rPr>
      </w:pPr>
      <w:r w:rsidRPr="000264FB">
        <w:rPr>
          <w:rFonts w:cs="Arial"/>
          <w:sz w:val="22"/>
        </w:rPr>
        <w:t>Předkládá vládě aktualizovaný akční plán ideálně ve stejném termínu, jako je předkládán akční plán Strategie regionálního rozvoje (dále jen „AP SRR“), tj. k 31. říjnu. Akční plán Strategie</w:t>
      </w:r>
      <w:r w:rsidR="009E5C8D">
        <w:rPr>
          <w:rFonts w:cs="Arial"/>
          <w:sz w:val="22"/>
        </w:rPr>
        <w:t xml:space="preserve"> RE:START</w:t>
      </w:r>
      <w:r w:rsidRPr="000264FB">
        <w:rPr>
          <w:rFonts w:cs="Arial"/>
          <w:sz w:val="22"/>
        </w:rPr>
        <w:t xml:space="preserve"> je zpracováván na stejné období jako AP SRR, tj. na dva roky.</w:t>
      </w:r>
    </w:p>
    <w:p w14:paraId="476E0C70" w14:textId="77777777" w:rsidR="000264FB" w:rsidRPr="000264FB" w:rsidRDefault="000264FB" w:rsidP="008970A9">
      <w:pPr>
        <w:spacing w:line="276" w:lineRule="auto"/>
        <w:jc w:val="both"/>
        <w:rPr>
          <w:rFonts w:cs="Arial"/>
          <w:sz w:val="22"/>
        </w:rPr>
      </w:pPr>
      <w:r w:rsidRPr="000264FB">
        <w:rPr>
          <w:rFonts w:cs="Arial"/>
          <w:sz w:val="22"/>
        </w:rPr>
        <w:t xml:space="preserve">RSK předkládají výkonnému týmu podklady pro akční plán v termínu stanoveném MMR. Výkonný tým podklady následně rozpracuje a projedná s příslušnými partnery. V souladu se zákonem č. 2/1969 Sb. MMR koordinuje „činnosti ministerstev a jiných ústředních orgánů státní správy při zabezpečování politiky bydlení a regionální politiky státu, včetně koordinace financování těchto činností, pokud tyto prostředky přímo nespravuje“. </w:t>
      </w:r>
    </w:p>
    <w:p w14:paraId="63DFF250" w14:textId="226435E6" w:rsidR="000264FB" w:rsidRPr="000264FB" w:rsidRDefault="000264FB" w:rsidP="008970A9">
      <w:pPr>
        <w:jc w:val="both"/>
        <w:rPr>
          <w:rFonts w:cs="Arial"/>
          <w:sz w:val="22"/>
        </w:rPr>
      </w:pPr>
      <w:r w:rsidRPr="000264FB">
        <w:rPr>
          <w:rFonts w:cs="Arial"/>
          <w:b/>
          <w:sz w:val="22"/>
        </w:rPr>
        <w:t>MMR</w:t>
      </w:r>
      <w:r w:rsidRPr="000264FB">
        <w:rPr>
          <w:rFonts w:cs="Arial"/>
          <w:sz w:val="22"/>
        </w:rPr>
        <w:t xml:space="preserve"> plní rovněž </w:t>
      </w:r>
      <w:r w:rsidRPr="000264FB">
        <w:rPr>
          <w:rFonts w:cs="Arial"/>
          <w:b/>
          <w:sz w:val="22"/>
        </w:rPr>
        <w:t>roli mediátora mezi různými úrovněmi realizace Strategie</w:t>
      </w:r>
      <w:r w:rsidR="009E5C8D">
        <w:rPr>
          <w:rFonts w:cs="Arial"/>
          <w:b/>
          <w:sz w:val="22"/>
        </w:rPr>
        <w:t xml:space="preserve"> RE:START</w:t>
      </w:r>
      <w:r w:rsidRPr="000264FB">
        <w:rPr>
          <w:rFonts w:cs="Arial"/>
          <w:b/>
          <w:sz w:val="22"/>
        </w:rPr>
        <w:t xml:space="preserve"> </w:t>
      </w:r>
      <w:r w:rsidRPr="000264FB">
        <w:rPr>
          <w:rFonts w:cs="Arial"/>
          <w:sz w:val="22"/>
        </w:rPr>
        <w:t>(vláda, ministerstva, regiony, zapojení tří krajů do jedné Strategie</w:t>
      </w:r>
      <w:r w:rsidR="009E5C8D">
        <w:rPr>
          <w:rFonts w:cs="Arial"/>
          <w:sz w:val="22"/>
        </w:rPr>
        <w:t xml:space="preserve"> RE:START</w:t>
      </w:r>
      <w:r w:rsidRPr="000264FB">
        <w:rPr>
          <w:rFonts w:cs="Arial"/>
          <w:sz w:val="22"/>
        </w:rPr>
        <w:t>), což je zajištěno poradním týmem a výkonným týmem</w:t>
      </w:r>
      <w:r w:rsidRPr="000264FB">
        <w:rPr>
          <w:rFonts w:cs="Arial"/>
          <w:b/>
          <w:sz w:val="22"/>
        </w:rPr>
        <w:t xml:space="preserve"> </w:t>
      </w:r>
      <w:r w:rsidRPr="000264FB">
        <w:rPr>
          <w:rFonts w:cs="Arial"/>
          <w:sz w:val="22"/>
        </w:rPr>
        <w:t xml:space="preserve">(zajišťuje strategické řízení). </w:t>
      </w:r>
    </w:p>
    <w:p w14:paraId="215FC7CC" w14:textId="77777777" w:rsidR="000264FB" w:rsidRPr="00187377" w:rsidRDefault="000264FB" w:rsidP="008970A9">
      <w:pPr>
        <w:pStyle w:val="Nadpis3"/>
        <w:jc w:val="both"/>
        <w:rPr>
          <w:rFonts w:cs="Arial"/>
        </w:rPr>
      </w:pPr>
      <w:bookmarkStart w:id="14" w:name="_Toc175743035"/>
      <w:r w:rsidRPr="00187377">
        <w:rPr>
          <w:rFonts w:cs="Arial"/>
        </w:rPr>
        <w:t>Ministerstvo financí</w:t>
      </w:r>
      <w:bookmarkEnd w:id="14"/>
    </w:p>
    <w:p w14:paraId="7280A3B0" w14:textId="51B1D45E" w:rsidR="000264FB" w:rsidRPr="000264FB" w:rsidRDefault="000264FB" w:rsidP="008970A9">
      <w:pPr>
        <w:spacing w:line="276" w:lineRule="auto"/>
        <w:jc w:val="both"/>
        <w:rPr>
          <w:rFonts w:cs="Arial"/>
          <w:sz w:val="22"/>
        </w:rPr>
      </w:pPr>
      <w:r w:rsidRPr="000264FB">
        <w:rPr>
          <w:rFonts w:cs="Arial"/>
          <w:sz w:val="22"/>
        </w:rPr>
        <w:t>Jedním z podstatných předpokladů úspěšné implementace Strategie</w:t>
      </w:r>
      <w:r w:rsidR="009E5C8D">
        <w:rPr>
          <w:rFonts w:cs="Arial"/>
          <w:sz w:val="22"/>
        </w:rPr>
        <w:t xml:space="preserve"> RE:START</w:t>
      </w:r>
      <w:r w:rsidRPr="000264FB">
        <w:rPr>
          <w:rFonts w:cs="Arial"/>
          <w:sz w:val="22"/>
        </w:rPr>
        <w:t xml:space="preserve"> je zajištění zdrojů financování. Důležitá je tak role ministerstva financí jako ústředního orgánu státní správy s cílem koordinovat finanční prostředky pro realizaci intervencí uvedených v akčním plánu Strategie </w:t>
      </w:r>
      <w:r w:rsidR="009E5C8D">
        <w:rPr>
          <w:rFonts w:cs="Arial"/>
          <w:sz w:val="22"/>
        </w:rPr>
        <w:t xml:space="preserve">RE:START </w:t>
      </w:r>
      <w:r w:rsidRPr="000264FB">
        <w:rPr>
          <w:rFonts w:cs="Arial"/>
          <w:sz w:val="22"/>
        </w:rPr>
        <w:t>s ohledem na schvalovaný státní rozpočet v jednotlivých letech.</w:t>
      </w:r>
    </w:p>
    <w:p w14:paraId="4C149B2F" w14:textId="77777777" w:rsidR="000264FB" w:rsidRPr="00187377" w:rsidRDefault="000264FB" w:rsidP="008970A9">
      <w:pPr>
        <w:pStyle w:val="Nadpis3"/>
        <w:jc w:val="both"/>
        <w:rPr>
          <w:rFonts w:cs="Arial"/>
        </w:rPr>
      </w:pPr>
      <w:bookmarkStart w:id="15" w:name="_Toc175743036"/>
      <w:r w:rsidRPr="00187377">
        <w:rPr>
          <w:rFonts w:cs="Arial"/>
        </w:rPr>
        <w:t>Úřad vlády</w:t>
      </w:r>
      <w:bookmarkEnd w:id="15"/>
    </w:p>
    <w:p w14:paraId="4D924AD7" w14:textId="77777777" w:rsidR="000264FB" w:rsidRPr="000264FB" w:rsidRDefault="000264FB" w:rsidP="008970A9">
      <w:pPr>
        <w:spacing w:line="276" w:lineRule="auto"/>
        <w:jc w:val="both"/>
        <w:rPr>
          <w:rFonts w:cs="Arial"/>
          <w:sz w:val="22"/>
        </w:rPr>
      </w:pPr>
      <w:r w:rsidRPr="000264FB">
        <w:rPr>
          <w:rFonts w:cs="Arial"/>
          <w:sz w:val="22"/>
        </w:rPr>
        <w:t>Úřad vlády je pověřen součinností při naplňování procesních záležitostí a přenosem informací předsedovi vlády.</w:t>
      </w:r>
    </w:p>
    <w:p w14:paraId="004E021C" w14:textId="77777777" w:rsidR="000264FB" w:rsidRPr="000264FB" w:rsidRDefault="000264FB" w:rsidP="008970A9">
      <w:pPr>
        <w:spacing w:line="276" w:lineRule="auto"/>
        <w:jc w:val="both"/>
        <w:rPr>
          <w:rFonts w:cs="Arial"/>
          <w:sz w:val="22"/>
        </w:rPr>
      </w:pPr>
      <w:r w:rsidRPr="000264FB">
        <w:rPr>
          <w:rFonts w:cs="Arial"/>
          <w:sz w:val="22"/>
        </w:rPr>
        <w:t>Do přípravy akčních plánů jsou zapojeny i další ministerstva a subjekty, a to v závislosti na tematickém zaměření jednotlivých opatření, které jsou z regionů navrhovány.</w:t>
      </w:r>
    </w:p>
    <w:p w14:paraId="4BB3A425" w14:textId="77777777" w:rsidR="000264FB" w:rsidRPr="00187377" w:rsidRDefault="000264FB" w:rsidP="008970A9">
      <w:pPr>
        <w:pStyle w:val="Nadpis2"/>
        <w:jc w:val="both"/>
        <w:rPr>
          <w:rFonts w:cs="Arial"/>
        </w:rPr>
      </w:pPr>
      <w:bookmarkStart w:id="16" w:name="_Toc175743037"/>
      <w:r w:rsidRPr="00187377">
        <w:rPr>
          <w:rFonts w:cs="Arial"/>
        </w:rPr>
        <w:lastRenderedPageBreak/>
        <w:t>Postup tvorby Souhrnného akčního plánu</w:t>
      </w:r>
      <w:bookmarkEnd w:id="16"/>
    </w:p>
    <w:p w14:paraId="45ACED38" w14:textId="77777777" w:rsidR="000264FB" w:rsidRPr="000264FB" w:rsidRDefault="000264FB" w:rsidP="008970A9">
      <w:pPr>
        <w:spacing w:line="276" w:lineRule="auto"/>
        <w:jc w:val="both"/>
        <w:rPr>
          <w:rFonts w:cs="Arial"/>
          <w:sz w:val="22"/>
        </w:rPr>
      </w:pPr>
      <w:r w:rsidRPr="000264FB">
        <w:rPr>
          <w:rFonts w:cs="Arial"/>
          <w:sz w:val="22"/>
        </w:rPr>
        <w:t>Sběr návrhů pro tvorbu opatření provádí výkonný tým, RSK, případně její pracovní skupiny:</w:t>
      </w:r>
    </w:p>
    <w:p w14:paraId="1615540A" w14:textId="77777777" w:rsidR="000264FB" w:rsidRPr="000264FB" w:rsidRDefault="000264FB" w:rsidP="002E4092">
      <w:pPr>
        <w:pStyle w:val="Odstavecseseznamem"/>
        <w:numPr>
          <w:ilvl w:val="6"/>
          <w:numId w:val="16"/>
        </w:numPr>
        <w:spacing w:line="276" w:lineRule="auto"/>
        <w:ind w:left="709"/>
        <w:jc w:val="both"/>
        <w:rPr>
          <w:rFonts w:cs="Arial"/>
          <w:sz w:val="22"/>
        </w:rPr>
      </w:pPr>
      <w:r w:rsidRPr="000264FB">
        <w:rPr>
          <w:rFonts w:cs="Arial"/>
          <w:sz w:val="22"/>
        </w:rPr>
        <w:t>prostřednictvím mediálních výzev určených široké veřejnosti, které zahrnují organizaci webinářů,</w:t>
      </w:r>
    </w:p>
    <w:p w14:paraId="4B45BD2D" w14:textId="77777777" w:rsidR="000264FB" w:rsidRPr="000264FB" w:rsidRDefault="000264FB" w:rsidP="002E4092">
      <w:pPr>
        <w:pStyle w:val="Odstavecseseznamem"/>
        <w:numPr>
          <w:ilvl w:val="6"/>
          <w:numId w:val="16"/>
        </w:numPr>
        <w:spacing w:line="276" w:lineRule="auto"/>
        <w:ind w:left="709"/>
        <w:jc w:val="both"/>
        <w:rPr>
          <w:rFonts w:cs="Arial"/>
          <w:sz w:val="22"/>
        </w:rPr>
      </w:pPr>
      <w:r w:rsidRPr="000264FB">
        <w:rPr>
          <w:rFonts w:cs="Arial"/>
          <w:sz w:val="22"/>
        </w:rPr>
        <w:t>elektronickým dotazníkem určeným pro odbornou i laickou veřejnost, jak na regionální, tak na národní úrovni včetně odpovědných ministerstev,</w:t>
      </w:r>
    </w:p>
    <w:p w14:paraId="4D77545E" w14:textId="77777777" w:rsidR="000264FB" w:rsidRPr="000264FB" w:rsidRDefault="000264FB" w:rsidP="002E4092">
      <w:pPr>
        <w:pStyle w:val="Odstavecseseznamem"/>
        <w:numPr>
          <w:ilvl w:val="6"/>
          <w:numId w:val="16"/>
        </w:numPr>
        <w:spacing w:line="276" w:lineRule="auto"/>
        <w:ind w:left="709"/>
        <w:jc w:val="both"/>
        <w:rPr>
          <w:rFonts w:cs="Arial"/>
          <w:sz w:val="22"/>
        </w:rPr>
      </w:pPr>
      <w:r w:rsidRPr="000264FB">
        <w:rPr>
          <w:rFonts w:cs="Arial"/>
          <w:sz w:val="22"/>
        </w:rPr>
        <w:t>na základě osobních jednání s regionálními či národními aktéry a experty, například v rámci pracovních skupin a platforem,</w:t>
      </w:r>
    </w:p>
    <w:p w14:paraId="75EC7F00" w14:textId="77777777" w:rsidR="000264FB" w:rsidRPr="000264FB" w:rsidRDefault="000264FB" w:rsidP="002E4092">
      <w:pPr>
        <w:pStyle w:val="Odstavecseseznamem"/>
        <w:numPr>
          <w:ilvl w:val="6"/>
          <w:numId w:val="16"/>
        </w:numPr>
        <w:spacing w:line="276" w:lineRule="auto"/>
        <w:ind w:left="709"/>
        <w:jc w:val="both"/>
        <w:rPr>
          <w:rFonts w:cs="Arial"/>
          <w:sz w:val="22"/>
        </w:rPr>
      </w:pPr>
      <w:r w:rsidRPr="000264FB">
        <w:rPr>
          <w:rFonts w:cs="Arial"/>
          <w:sz w:val="22"/>
        </w:rPr>
        <w:t>aktualizací opatření již popsaných ve Strategii.</w:t>
      </w:r>
    </w:p>
    <w:p w14:paraId="0CD10F93" w14:textId="77777777" w:rsidR="000264FB" w:rsidRPr="000264FB" w:rsidRDefault="000264FB" w:rsidP="008970A9">
      <w:pPr>
        <w:spacing w:line="276" w:lineRule="auto"/>
        <w:jc w:val="both"/>
        <w:rPr>
          <w:rFonts w:cs="Arial"/>
          <w:sz w:val="22"/>
        </w:rPr>
      </w:pPr>
      <w:r w:rsidRPr="000264FB">
        <w:rPr>
          <w:rFonts w:cs="Arial"/>
          <w:sz w:val="22"/>
        </w:rPr>
        <w:t>Pro tyto účely jsou ze strany MMR definovány minimální požadavky na údaje, které musí předkládaný návrh opatření obsahovat, i forma, v níž budou návrhy předkládány.</w:t>
      </w:r>
    </w:p>
    <w:p w14:paraId="4B4F3585" w14:textId="77777777" w:rsidR="000264FB" w:rsidRPr="000264FB" w:rsidRDefault="000264FB" w:rsidP="008970A9">
      <w:pPr>
        <w:spacing w:line="276" w:lineRule="auto"/>
        <w:jc w:val="both"/>
        <w:rPr>
          <w:rFonts w:cs="Arial"/>
          <w:sz w:val="22"/>
        </w:rPr>
      </w:pPr>
      <w:r w:rsidRPr="000264FB">
        <w:rPr>
          <w:rFonts w:cs="Arial"/>
          <w:sz w:val="22"/>
        </w:rPr>
        <w:t>Návrh nového opatření nebo návrh aktualizace současného opatření stručně popíše smysl, případně i fungování daného opatření ve Strategii, včetně návrhu garanta/nositele opatření. Návrh může vzniknout na základě následujících podkladů, vstupů či zdrojů:</w:t>
      </w:r>
    </w:p>
    <w:p w14:paraId="38C51538" w14:textId="77777777" w:rsidR="000264FB" w:rsidRPr="000264FB" w:rsidRDefault="000264FB" w:rsidP="002E4092">
      <w:pPr>
        <w:pStyle w:val="Odstavecseseznamem"/>
        <w:numPr>
          <w:ilvl w:val="0"/>
          <w:numId w:val="20"/>
        </w:numPr>
        <w:spacing w:line="276" w:lineRule="auto"/>
        <w:jc w:val="both"/>
        <w:rPr>
          <w:rFonts w:cs="Arial"/>
          <w:sz w:val="22"/>
        </w:rPr>
      </w:pPr>
      <w:r w:rsidRPr="000264FB">
        <w:rPr>
          <w:rFonts w:cs="Arial"/>
          <w:sz w:val="22"/>
        </w:rPr>
        <w:t>Opatření, případně aktualizaci stávajícího opatření může navrhnout výkonný tým sám, nebo ve spolupráci s dalšími experty.</w:t>
      </w:r>
    </w:p>
    <w:p w14:paraId="7BCBE061" w14:textId="77777777" w:rsidR="000264FB" w:rsidRPr="000264FB" w:rsidRDefault="000264FB" w:rsidP="002E4092">
      <w:pPr>
        <w:pStyle w:val="Odstavecseseznamem"/>
        <w:numPr>
          <w:ilvl w:val="0"/>
          <w:numId w:val="20"/>
        </w:numPr>
        <w:spacing w:line="276" w:lineRule="auto"/>
        <w:jc w:val="both"/>
        <w:rPr>
          <w:rFonts w:cs="Arial"/>
          <w:sz w:val="22"/>
        </w:rPr>
      </w:pPr>
      <w:r w:rsidRPr="000264FB">
        <w:rPr>
          <w:rFonts w:cs="Arial"/>
          <w:sz w:val="22"/>
        </w:rPr>
        <w:t>Opatření, nebo aktualizaci stávajícího opatření mohou navrhovat také jednotlivé resorty, v jejichž gesci jsou jednotlivé pilíře.</w:t>
      </w:r>
    </w:p>
    <w:p w14:paraId="576BDDAD" w14:textId="77777777" w:rsidR="000264FB" w:rsidRPr="000264FB" w:rsidRDefault="000264FB" w:rsidP="002E4092">
      <w:pPr>
        <w:pStyle w:val="Odstavecseseznamem"/>
        <w:numPr>
          <w:ilvl w:val="0"/>
          <w:numId w:val="20"/>
        </w:numPr>
        <w:spacing w:line="276" w:lineRule="auto"/>
        <w:jc w:val="both"/>
        <w:rPr>
          <w:rFonts w:cs="Arial"/>
          <w:sz w:val="22"/>
        </w:rPr>
      </w:pPr>
      <w:r w:rsidRPr="000264FB">
        <w:rPr>
          <w:rFonts w:cs="Arial"/>
          <w:sz w:val="22"/>
        </w:rPr>
        <w:t>Návrhy nových, nebo aktualizace stávajících opatření mohou vzejít také z diskuse s regionálními aktéry či prostřednictvím sběru podnětů prostřednictvím elektronického dotazníku. Návrhy je pak nutno před zařazením do pracovního seznamu setřídit a konsolidovat.</w:t>
      </w:r>
    </w:p>
    <w:p w14:paraId="60241A2D" w14:textId="05436E6E" w:rsidR="000264FB" w:rsidRPr="000264FB" w:rsidRDefault="000264FB" w:rsidP="008970A9">
      <w:pPr>
        <w:spacing w:line="276" w:lineRule="auto"/>
        <w:jc w:val="both"/>
        <w:rPr>
          <w:rFonts w:cs="Arial"/>
          <w:sz w:val="22"/>
        </w:rPr>
      </w:pPr>
      <w:r w:rsidRPr="000264FB">
        <w:rPr>
          <w:rFonts w:cs="Arial"/>
          <w:sz w:val="22"/>
        </w:rPr>
        <w:t>Návrh opatření nemusí vycházet explicitně z rámce ilustrativních opatření navržených ve Strategii, ani se na ně nemusí omezovat,  s podmínkou, že z anotace bude zřejmé, jak budou fungovat a jakým způsobem přispějí k naplňování určitých cílů, resp. pilířů Strategie</w:t>
      </w:r>
      <w:r w:rsidR="009E5C8D">
        <w:rPr>
          <w:rFonts w:cs="Arial"/>
          <w:sz w:val="22"/>
        </w:rPr>
        <w:t xml:space="preserve"> RE:START</w:t>
      </w:r>
      <w:r w:rsidRPr="000264FB">
        <w:rPr>
          <w:rFonts w:cs="Arial"/>
          <w:sz w:val="22"/>
        </w:rPr>
        <w:t>. Návrh opatření musí obsahovat jasný název a (až na odůvodněné výjimky) nemá mít podobu jednotlivých projektů, nýbrž by měl mít podobu programu, návrhu systémových změn, pilotního schématu, analýzy apod.</w:t>
      </w:r>
    </w:p>
    <w:p w14:paraId="640D1280" w14:textId="77777777" w:rsidR="000264FB" w:rsidRPr="00187377" w:rsidRDefault="000264FB" w:rsidP="008970A9">
      <w:pPr>
        <w:pStyle w:val="Nadpis3"/>
        <w:jc w:val="both"/>
        <w:rPr>
          <w:rFonts w:cs="Arial"/>
        </w:rPr>
      </w:pPr>
      <w:bookmarkStart w:id="17" w:name="_Toc175743038"/>
      <w:r w:rsidRPr="00187377">
        <w:rPr>
          <w:rFonts w:cs="Arial"/>
        </w:rPr>
        <w:t xml:space="preserve">Výběr návrhů </w:t>
      </w:r>
      <w:r>
        <w:rPr>
          <w:rFonts w:cs="Arial"/>
        </w:rPr>
        <w:t>a rozpracování opatření pro akční plán</w:t>
      </w:r>
      <w:bookmarkEnd w:id="17"/>
    </w:p>
    <w:p w14:paraId="648BB6C1" w14:textId="77777777" w:rsidR="000264FB" w:rsidRPr="000264FB" w:rsidRDefault="000264FB" w:rsidP="008970A9">
      <w:pPr>
        <w:pStyle w:val="Default"/>
        <w:spacing w:line="276" w:lineRule="auto"/>
        <w:jc w:val="both"/>
        <w:rPr>
          <w:rFonts w:ascii="Arial" w:hAnsi="Arial" w:cs="Arial"/>
          <w:sz w:val="22"/>
          <w:szCs w:val="22"/>
        </w:rPr>
      </w:pPr>
      <w:r w:rsidRPr="000264FB">
        <w:rPr>
          <w:rFonts w:ascii="Arial" w:hAnsi="Arial" w:cs="Arial"/>
          <w:sz w:val="22"/>
          <w:szCs w:val="22"/>
        </w:rPr>
        <w:t>RSK po konzultaci se svými pracovními týmy vybere návrhy opatření, která jsou pro příslušný kraj prioritní a okomentuje je.</w:t>
      </w:r>
    </w:p>
    <w:p w14:paraId="5EEEE66C" w14:textId="77777777" w:rsidR="000264FB" w:rsidRPr="000264FB" w:rsidRDefault="000264FB" w:rsidP="008970A9">
      <w:pPr>
        <w:spacing w:line="276" w:lineRule="auto"/>
        <w:jc w:val="both"/>
        <w:rPr>
          <w:rFonts w:cs="Arial"/>
          <w:sz w:val="22"/>
        </w:rPr>
      </w:pPr>
      <w:r w:rsidRPr="000264FB">
        <w:rPr>
          <w:rFonts w:cs="Arial"/>
          <w:sz w:val="22"/>
        </w:rPr>
        <w:t>Výkonný tým provede na základě doporučení výběr opatření a posoudí relevanci navrhovaných nositelů/garantů opatření.</w:t>
      </w:r>
    </w:p>
    <w:p w14:paraId="4BD051D8" w14:textId="10A186D1" w:rsidR="000264FB" w:rsidRPr="000264FB" w:rsidRDefault="000264FB" w:rsidP="00DA3833">
      <w:pPr>
        <w:spacing w:line="276" w:lineRule="auto"/>
        <w:jc w:val="both"/>
        <w:rPr>
          <w:rFonts w:cs="Arial"/>
          <w:sz w:val="22"/>
        </w:rPr>
      </w:pPr>
      <w:r w:rsidRPr="000264FB">
        <w:rPr>
          <w:rFonts w:cs="Arial"/>
          <w:sz w:val="22"/>
        </w:rPr>
        <w:t>Vybraná opatření budou rozpracována do podoby návrhu Souhrnného akčního plánu výkonným týmem ve spolupráci s věcně příslušnými resorty nebo institucemi a zástupci RSK.</w:t>
      </w:r>
    </w:p>
    <w:p w14:paraId="11E0A60F" w14:textId="77777777" w:rsidR="000264FB" w:rsidRPr="000264FB" w:rsidRDefault="000264FB" w:rsidP="008970A9">
      <w:pPr>
        <w:pStyle w:val="Default"/>
        <w:spacing w:line="276" w:lineRule="auto"/>
        <w:jc w:val="both"/>
        <w:rPr>
          <w:rFonts w:ascii="Arial" w:hAnsi="Arial" w:cs="Arial"/>
          <w:sz w:val="22"/>
          <w:szCs w:val="22"/>
        </w:rPr>
      </w:pPr>
      <w:r w:rsidRPr="000264FB">
        <w:rPr>
          <w:rFonts w:ascii="Arial" w:hAnsi="Arial" w:cs="Arial"/>
          <w:sz w:val="22"/>
          <w:szCs w:val="22"/>
        </w:rPr>
        <w:t>Podle charakteru opatření bude rozpracování probíhat buď:</w:t>
      </w:r>
    </w:p>
    <w:p w14:paraId="724F5813" w14:textId="77777777" w:rsidR="000264FB" w:rsidRPr="000264FB" w:rsidRDefault="000264FB" w:rsidP="002E4092">
      <w:pPr>
        <w:pStyle w:val="Default"/>
        <w:numPr>
          <w:ilvl w:val="0"/>
          <w:numId w:val="20"/>
        </w:numPr>
        <w:spacing w:after="56" w:line="276" w:lineRule="auto"/>
        <w:jc w:val="both"/>
        <w:rPr>
          <w:rFonts w:ascii="Arial" w:hAnsi="Arial" w:cs="Arial"/>
          <w:sz w:val="22"/>
          <w:szCs w:val="22"/>
        </w:rPr>
      </w:pPr>
      <w:r w:rsidRPr="000264FB">
        <w:rPr>
          <w:rFonts w:ascii="Arial" w:hAnsi="Arial" w:cs="Arial"/>
          <w:sz w:val="22"/>
          <w:szCs w:val="22"/>
        </w:rPr>
        <w:t xml:space="preserve">na úrovni centrální – základní návrh s následným dopracováním pro místní podmínky na úrovni krajů; </w:t>
      </w:r>
    </w:p>
    <w:p w14:paraId="68F2CDCE" w14:textId="77777777" w:rsidR="000264FB" w:rsidRPr="000264FB" w:rsidRDefault="000264FB" w:rsidP="002E4092">
      <w:pPr>
        <w:pStyle w:val="Default"/>
        <w:numPr>
          <w:ilvl w:val="0"/>
          <w:numId w:val="20"/>
        </w:numPr>
        <w:spacing w:after="160" w:line="276" w:lineRule="auto"/>
        <w:ind w:left="714" w:hanging="357"/>
        <w:jc w:val="both"/>
        <w:rPr>
          <w:rFonts w:ascii="Arial" w:hAnsi="Arial" w:cs="Arial"/>
          <w:sz w:val="22"/>
          <w:szCs w:val="22"/>
        </w:rPr>
      </w:pPr>
      <w:r w:rsidRPr="000264FB">
        <w:rPr>
          <w:rFonts w:ascii="Arial" w:hAnsi="Arial" w:cs="Arial"/>
          <w:sz w:val="22"/>
          <w:szCs w:val="22"/>
        </w:rPr>
        <w:t xml:space="preserve">nebo přímo na úrovni krajů, případně jednotlivého kraje, pokud se bude jednat o specifické opatření pro jeden kraj. </w:t>
      </w:r>
    </w:p>
    <w:p w14:paraId="45CE503F" w14:textId="77777777" w:rsidR="000264FB" w:rsidRPr="000264FB" w:rsidRDefault="000264FB" w:rsidP="008970A9">
      <w:pPr>
        <w:pStyle w:val="Default"/>
        <w:spacing w:after="160" w:line="276" w:lineRule="auto"/>
        <w:jc w:val="both"/>
        <w:rPr>
          <w:rFonts w:ascii="Arial" w:hAnsi="Arial" w:cs="Arial"/>
          <w:sz w:val="22"/>
          <w:szCs w:val="22"/>
        </w:rPr>
      </w:pPr>
      <w:r w:rsidRPr="000264FB">
        <w:rPr>
          <w:rFonts w:ascii="Arial" w:hAnsi="Arial" w:cs="Arial"/>
          <w:sz w:val="22"/>
          <w:szCs w:val="22"/>
        </w:rPr>
        <w:lastRenderedPageBreak/>
        <w:t xml:space="preserve">Opatření budou rozpracována jako koncepty, tj. budou pro ně popsány základní parametry a mechanismy působení/fungování. </w:t>
      </w:r>
    </w:p>
    <w:p w14:paraId="16E956C2" w14:textId="77777777" w:rsidR="000264FB" w:rsidRPr="00187377" w:rsidRDefault="000264FB" w:rsidP="008970A9">
      <w:pPr>
        <w:pStyle w:val="Nadpis3"/>
        <w:jc w:val="both"/>
        <w:rPr>
          <w:rFonts w:cs="Arial"/>
        </w:rPr>
      </w:pPr>
      <w:bookmarkStart w:id="18" w:name="_Toc175743039"/>
      <w:r w:rsidRPr="00187377">
        <w:rPr>
          <w:rFonts w:cs="Arial"/>
        </w:rPr>
        <w:t>Finalizace Souhrnného akčního plánu</w:t>
      </w:r>
      <w:bookmarkEnd w:id="18"/>
    </w:p>
    <w:p w14:paraId="10B20A1A" w14:textId="77777777" w:rsidR="000264FB" w:rsidRPr="000264FB" w:rsidRDefault="000264FB" w:rsidP="008970A9">
      <w:pPr>
        <w:spacing w:line="276" w:lineRule="auto"/>
        <w:jc w:val="both"/>
        <w:rPr>
          <w:rFonts w:cs="Arial"/>
          <w:sz w:val="22"/>
        </w:rPr>
      </w:pPr>
      <w:r w:rsidRPr="000264FB">
        <w:rPr>
          <w:rFonts w:cs="Arial"/>
          <w:sz w:val="22"/>
        </w:rPr>
        <w:t>Zpracovaná opatření budou předložena rozšířeným jednáním RSK a krajských tripartit k připomínkování. Potvrzení souhlasu s předkládaným návrhem Souhrnného akčního plánu bude vždy dokládáno protokolem z jednání RSK, podepsané jejich předsedou (hejtmanem).</w:t>
      </w:r>
    </w:p>
    <w:p w14:paraId="193A2EB6" w14:textId="77777777" w:rsidR="000264FB" w:rsidRPr="00187377" w:rsidRDefault="000264FB" w:rsidP="008970A9">
      <w:pPr>
        <w:pStyle w:val="Nadpis3"/>
        <w:jc w:val="both"/>
        <w:rPr>
          <w:rFonts w:cs="Arial"/>
        </w:rPr>
      </w:pPr>
      <w:bookmarkStart w:id="19" w:name="_Toc175743040"/>
      <w:r w:rsidRPr="00187377">
        <w:rPr>
          <w:rFonts w:cs="Arial"/>
        </w:rPr>
        <w:t>Předložení Souhrnného akčního plánu vládě</w:t>
      </w:r>
      <w:bookmarkEnd w:id="19"/>
    </w:p>
    <w:p w14:paraId="681EB67C" w14:textId="69EF7E5E" w:rsidR="000264FB" w:rsidRPr="000264FB" w:rsidRDefault="000264FB" w:rsidP="008970A9">
      <w:pPr>
        <w:spacing w:line="276" w:lineRule="auto"/>
        <w:jc w:val="both"/>
        <w:rPr>
          <w:rFonts w:cs="Arial"/>
          <w:sz w:val="22"/>
        </w:rPr>
      </w:pPr>
      <w:r w:rsidRPr="000264FB">
        <w:rPr>
          <w:rFonts w:cs="Arial"/>
          <w:sz w:val="22"/>
        </w:rPr>
        <w:t>Za meziresortní projednání Souhrnného akčního plánu zodpovídá MMR. V případě zásadních změn je MMR povinno konzultovat tyto změny na úrovni výkonného týmu s RSK. Návrhy dokumentů jsou představeny na Konferenci restrukturalizace. Následně je Souhrnný akční plán předložen vládě k projednání zpravidla v termínu do 31. října daného roku.</w:t>
      </w:r>
    </w:p>
    <w:p w14:paraId="7D4B9FFD" w14:textId="77777777" w:rsidR="000264FB" w:rsidRPr="00187377" w:rsidRDefault="000264FB" w:rsidP="008970A9">
      <w:pPr>
        <w:pStyle w:val="Nadpis1"/>
        <w:jc w:val="both"/>
        <w:rPr>
          <w:rFonts w:cs="Arial"/>
        </w:rPr>
      </w:pPr>
      <w:bookmarkStart w:id="20" w:name="_Toc175743041"/>
      <w:r w:rsidRPr="00187377">
        <w:rPr>
          <w:rFonts w:cs="Arial"/>
        </w:rPr>
        <w:t xml:space="preserve">Naplňování Souhrnného </w:t>
      </w:r>
      <w:r>
        <w:rPr>
          <w:rFonts w:cs="Arial"/>
        </w:rPr>
        <w:t>a</w:t>
      </w:r>
      <w:r w:rsidRPr="00187377">
        <w:rPr>
          <w:rFonts w:cs="Arial"/>
        </w:rPr>
        <w:t>kčního plánu</w:t>
      </w:r>
      <w:bookmarkEnd w:id="20"/>
      <w:r w:rsidRPr="00187377">
        <w:rPr>
          <w:rFonts w:cs="Arial"/>
        </w:rPr>
        <w:t xml:space="preserve"> </w:t>
      </w:r>
    </w:p>
    <w:p w14:paraId="5945B128" w14:textId="77777777" w:rsidR="000264FB" w:rsidRPr="000264FB" w:rsidRDefault="000264FB" w:rsidP="008970A9">
      <w:pPr>
        <w:spacing w:line="276" w:lineRule="auto"/>
        <w:jc w:val="both"/>
        <w:rPr>
          <w:rFonts w:cs="Arial"/>
          <w:sz w:val="22"/>
        </w:rPr>
      </w:pPr>
      <w:r w:rsidRPr="000264FB">
        <w:rPr>
          <w:rFonts w:cs="Arial"/>
          <w:sz w:val="22"/>
        </w:rPr>
        <w:t>V rovině naplňování Souhrnného akčního plánu je významná, v návaznosti na organizační strukturu definovanou těmito Implementačními zásadami, úloha především těchto subjektů:</w:t>
      </w:r>
    </w:p>
    <w:p w14:paraId="61AA3C4C" w14:textId="77777777" w:rsidR="000264FB" w:rsidRPr="00187377" w:rsidRDefault="000264FB" w:rsidP="008970A9">
      <w:pPr>
        <w:pStyle w:val="Nadpis2"/>
        <w:jc w:val="both"/>
        <w:rPr>
          <w:rFonts w:cs="Arial"/>
        </w:rPr>
      </w:pPr>
      <w:bookmarkStart w:id="21" w:name="_Toc175743042"/>
      <w:r w:rsidRPr="00187377">
        <w:rPr>
          <w:rFonts w:cs="Arial"/>
        </w:rPr>
        <w:t>Ministerstva</w:t>
      </w:r>
      <w:bookmarkEnd w:id="21"/>
    </w:p>
    <w:p w14:paraId="5AD8179C" w14:textId="77777777" w:rsidR="000264FB" w:rsidRPr="000264FB" w:rsidRDefault="000264FB" w:rsidP="008970A9">
      <w:pPr>
        <w:spacing w:line="276" w:lineRule="auto"/>
        <w:jc w:val="both"/>
        <w:rPr>
          <w:rFonts w:cs="Arial"/>
          <w:sz w:val="22"/>
        </w:rPr>
      </w:pPr>
      <w:r w:rsidRPr="000264FB">
        <w:rPr>
          <w:rFonts w:cs="Arial"/>
          <w:sz w:val="22"/>
        </w:rPr>
        <w:t xml:space="preserve">Úloha jednotlivých ministerstev při naplňování Souhrnného akčního plánu vychází především z charakteru úkolů, které budou jednotlivým resortům zadány k plnění v rámci usnesení, kterým vláda ČR akceptuje Souhrnný akční plán. Ministerstva o svých aktivitách na úrovni plnění těchto úkolů průběžně informují MMR, které následně (i za možnosti využití výkonného týmu) komunikuje tyto informace na regionální úrovni. </w:t>
      </w:r>
    </w:p>
    <w:p w14:paraId="37D6AA38" w14:textId="7AD8498A" w:rsidR="007C035C" w:rsidRPr="000264FB" w:rsidRDefault="000264FB" w:rsidP="008970A9">
      <w:pPr>
        <w:spacing w:line="276" w:lineRule="auto"/>
        <w:jc w:val="both"/>
        <w:rPr>
          <w:rFonts w:cs="Arial"/>
          <w:sz w:val="22"/>
        </w:rPr>
      </w:pPr>
      <w:r w:rsidRPr="000264FB">
        <w:rPr>
          <w:rFonts w:cs="Arial"/>
          <w:sz w:val="22"/>
        </w:rPr>
        <w:t xml:space="preserve">Specifickou úlohu na této úrovni v dlouhodobé perspektivě má MMR v pozici Národního orgánu pro koordinaci, tedy centrálního metodického a koordinačního subjektu pro implementaci programů spolufinancovaných z fondů Evropské unie. </w:t>
      </w:r>
    </w:p>
    <w:p w14:paraId="5E370C80" w14:textId="77777777" w:rsidR="000264FB" w:rsidRPr="00187377" w:rsidRDefault="000264FB" w:rsidP="008970A9">
      <w:pPr>
        <w:pStyle w:val="Nadpis2"/>
        <w:jc w:val="both"/>
        <w:rPr>
          <w:rFonts w:cs="Arial"/>
        </w:rPr>
      </w:pPr>
      <w:bookmarkStart w:id="22" w:name="_Toc175743043"/>
      <w:r w:rsidRPr="00187377">
        <w:rPr>
          <w:rFonts w:cs="Arial"/>
        </w:rPr>
        <w:t>Regionální stálé konference</w:t>
      </w:r>
      <w:bookmarkEnd w:id="22"/>
    </w:p>
    <w:p w14:paraId="00E7792C" w14:textId="77777777" w:rsidR="000264FB" w:rsidRPr="000264FB" w:rsidRDefault="000264FB" w:rsidP="008970A9">
      <w:pPr>
        <w:spacing w:line="276" w:lineRule="auto"/>
        <w:jc w:val="both"/>
        <w:rPr>
          <w:rFonts w:cs="Arial"/>
          <w:sz w:val="22"/>
        </w:rPr>
      </w:pPr>
      <w:r w:rsidRPr="000264FB">
        <w:rPr>
          <w:rFonts w:cs="Arial"/>
          <w:sz w:val="22"/>
        </w:rPr>
        <w:t xml:space="preserve">Průběžně reportují plnění opatření relevantním aktérům v území a MMR. Rovněž upozorňují výkonný tým na případné významné odchylky při implementaci opatření. </w:t>
      </w:r>
    </w:p>
    <w:p w14:paraId="4B204B53" w14:textId="77777777" w:rsidR="000264FB" w:rsidRPr="000264FB" w:rsidRDefault="000264FB" w:rsidP="008970A9">
      <w:pPr>
        <w:spacing w:line="276" w:lineRule="auto"/>
        <w:jc w:val="both"/>
        <w:rPr>
          <w:rFonts w:cs="Arial"/>
          <w:sz w:val="22"/>
        </w:rPr>
      </w:pPr>
      <w:r w:rsidRPr="000264FB">
        <w:rPr>
          <w:rFonts w:cs="Arial"/>
          <w:sz w:val="22"/>
        </w:rPr>
        <w:t xml:space="preserve">Prostřednictvím sekretariátu RSK průběžně vyhodnocují soulad realizovaných aktivit se Souhrnným akčním plánem a aktivně podporují přípravu a realizaci konkrétních projektů. </w:t>
      </w:r>
    </w:p>
    <w:p w14:paraId="30F68DCA" w14:textId="77777777" w:rsidR="000264FB" w:rsidRPr="000264FB" w:rsidRDefault="000264FB" w:rsidP="008970A9">
      <w:pPr>
        <w:jc w:val="both"/>
        <w:rPr>
          <w:rFonts w:cs="Arial"/>
          <w:sz w:val="22"/>
        </w:rPr>
      </w:pPr>
      <w:r w:rsidRPr="000264FB">
        <w:rPr>
          <w:rFonts w:cs="Arial"/>
          <w:sz w:val="22"/>
        </w:rPr>
        <w:t>Naplňují komunikační Strategii na regionální úrovni.</w:t>
      </w:r>
    </w:p>
    <w:p w14:paraId="7DAA4D21" w14:textId="77777777" w:rsidR="000264FB" w:rsidRPr="000264FB" w:rsidRDefault="000264FB" w:rsidP="008970A9">
      <w:pPr>
        <w:spacing w:line="276" w:lineRule="auto"/>
        <w:jc w:val="both"/>
        <w:rPr>
          <w:rFonts w:cs="Arial"/>
          <w:sz w:val="22"/>
        </w:rPr>
      </w:pPr>
      <w:r w:rsidRPr="000264FB">
        <w:rPr>
          <w:rFonts w:cs="Arial"/>
          <w:sz w:val="22"/>
        </w:rPr>
        <w:t xml:space="preserve">Podobně jako v případě ministerstev pak úloha krajských samospráv při naplňování Souhrnného akčního plánu vychází z charakteru úkolů, které jim budou zadány k plnění v rámci usnesení, kterým vláda ČR akceptuje Souhrnný akční plán (např. potřeba aktivního zapojení se do plnění konkrétních opatření). </w:t>
      </w:r>
    </w:p>
    <w:p w14:paraId="095DE786" w14:textId="77777777" w:rsidR="000264FB" w:rsidRPr="00187377" w:rsidRDefault="000264FB" w:rsidP="008970A9">
      <w:pPr>
        <w:pStyle w:val="Nadpis2"/>
        <w:jc w:val="both"/>
        <w:rPr>
          <w:rFonts w:cs="Arial"/>
        </w:rPr>
      </w:pPr>
      <w:bookmarkStart w:id="23" w:name="_Toc175743044"/>
      <w:r w:rsidRPr="00187377">
        <w:rPr>
          <w:rFonts w:cs="Arial"/>
        </w:rPr>
        <w:t>Nositelé projektů</w:t>
      </w:r>
      <w:bookmarkEnd w:id="23"/>
      <w:r w:rsidRPr="00187377">
        <w:rPr>
          <w:rFonts w:cs="Arial"/>
        </w:rPr>
        <w:t xml:space="preserve"> </w:t>
      </w:r>
    </w:p>
    <w:p w14:paraId="7287AEF5" w14:textId="77777777" w:rsidR="000264FB" w:rsidRPr="000264FB" w:rsidRDefault="000264FB" w:rsidP="008970A9">
      <w:pPr>
        <w:spacing w:line="276" w:lineRule="auto"/>
        <w:jc w:val="both"/>
        <w:rPr>
          <w:rFonts w:eastAsiaTheme="majorEastAsia" w:cs="Arial"/>
          <w:color w:val="2E74B5" w:themeColor="accent1" w:themeShade="BF"/>
          <w:sz w:val="22"/>
        </w:rPr>
      </w:pPr>
      <w:r w:rsidRPr="000264FB">
        <w:rPr>
          <w:rFonts w:cs="Arial"/>
          <w:sz w:val="22"/>
        </w:rPr>
        <w:t xml:space="preserve">S respektem k obsahu opatření definovaných Souhrnným akčním plánem bude moci široká škála subjektů realizovat projekty (např. prostřednictvím dotačních programů vymezených v kontextu definovaných opatření), kterými bude hospodářská restrukturalizace naplňována. Realizace těchto projektů se bude řídit specifickými podmínkami např. právě v návaznosti na základě opatření vzniklých (či upravených) dotačních programů, resp. např. specifických výzev. Při přípravě a realizaci projektů mohou jejich nositelé využít facilitační a konzultační </w:t>
      </w:r>
      <w:r w:rsidRPr="000264FB">
        <w:rPr>
          <w:rFonts w:cs="Arial"/>
          <w:sz w:val="22"/>
        </w:rPr>
        <w:lastRenderedPageBreak/>
        <w:t>podpory sekretariátu RSK, regionálních zastoupení agentur MPO i výkonného týmu Oddělení ohrožených území a regionů na MMR.</w:t>
      </w:r>
    </w:p>
    <w:p w14:paraId="5A4FDE72" w14:textId="77777777" w:rsidR="000264FB" w:rsidRPr="00187377" w:rsidRDefault="000264FB" w:rsidP="008970A9">
      <w:pPr>
        <w:pStyle w:val="Nadpis1"/>
        <w:jc w:val="both"/>
        <w:rPr>
          <w:rFonts w:cs="Arial"/>
        </w:rPr>
      </w:pPr>
      <w:bookmarkStart w:id="24" w:name="_Toc175743045"/>
      <w:r w:rsidRPr="00187377">
        <w:rPr>
          <w:rFonts w:cs="Arial"/>
        </w:rPr>
        <w:t>Finanční zásady</w:t>
      </w:r>
      <w:bookmarkEnd w:id="24"/>
      <w:r w:rsidRPr="00187377">
        <w:rPr>
          <w:rFonts w:cs="Arial"/>
        </w:rPr>
        <w:t xml:space="preserve"> </w:t>
      </w:r>
    </w:p>
    <w:p w14:paraId="4515958E" w14:textId="77777777" w:rsidR="000264FB" w:rsidRPr="00187377" w:rsidRDefault="000264FB" w:rsidP="008970A9">
      <w:pPr>
        <w:pStyle w:val="Nadpis2"/>
        <w:jc w:val="both"/>
        <w:rPr>
          <w:rFonts w:cs="Arial"/>
        </w:rPr>
      </w:pPr>
      <w:bookmarkStart w:id="25" w:name="_Toc175743046"/>
      <w:r w:rsidRPr="00187377">
        <w:rPr>
          <w:rFonts w:cs="Arial"/>
        </w:rPr>
        <w:t>Financování procesu přípravy a implementace</w:t>
      </w:r>
      <w:bookmarkEnd w:id="25"/>
      <w:r w:rsidRPr="00187377">
        <w:rPr>
          <w:rFonts w:cs="Arial"/>
        </w:rPr>
        <w:t xml:space="preserve"> </w:t>
      </w:r>
    </w:p>
    <w:p w14:paraId="68172FC4" w14:textId="77777777" w:rsidR="000264FB" w:rsidRPr="000264FB" w:rsidRDefault="000264FB" w:rsidP="008970A9">
      <w:pPr>
        <w:spacing w:line="276" w:lineRule="auto"/>
        <w:jc w:val="both"/>
        <w:rPr>
          <w:rFonts w:cs="Arial"/>
          <w:sz w:val="22"/>
        </w:rPr>
      </w:pPr>
      <w:r w:rsidRPr="000264FB">
        <w:rPr>
          <w:rFonts w:cs="Arial"/>
          <w:sz w:val="22"/>
        </w:rPr>
        <w:t>Financování přípravy a implementace Strategie RE:START jsou zajišťovány z prostředků Operačního programu Spravedlivá transformace, v době od 1. 1. 2023 – 31. 12. 2028 z projektu RE:START III, registrační číslo projektu: CZ.10.04.01/00/22_004/0000001, státního rozpočtu a dalších vhodných zdrojů. Rozpočet musí v sobě zahrnovat prostředky k zajištění následujících druhů nákladů:</w:t>
      </w:r>
    </w:p>
    <w:p w14:paraId="5C906178" w14:textId="77777777" w:rsidR="000264FB" w:rsidRPr="000264FB" w:rsidRDefault="000264FB" w:rsidP="002E4092">
      <w:pPr>
        <w:pStyle w:val="Odstavecseseznamem"/>
        <w:numPr>
          <w:ilvl w:val="0"/>
          <w:numId w:val="21"/>
        </w:numPr>
        <w:spacing w:line="276" w:lineRule="auto"/>
        <w:jc w:val="both"/>
        <w:rPr>
          <w:rFonts w:cs="Arial"/>
          <w:sz w:val="22"/>
        </w:rPr>
      </w:pPr>
      <w:r w:rsidRPr="000264FB">
        <w:rPr>
          <w:rFonts w:cs="Arial"/>
          <w:sz w:val="22"/>
        </w:rPr>
        <w:t>náklady na činnost výkonného týmu a odborných poradců,</w:t>
      </w:r>
    </w:p>
    <w:p w14:paraId="29F82EAF" w14:textId="77777777" w:rsidR="000264FB" w:rsidRPr="000264FB" w:rsidRDefault="000264FB" w:rsidP="002E4092">
      <w:pPr>
        <w:pStyle w:val="Odstavecseseznamem"/>
        <w:numPr>
          <w:ilvl w:val="0"/>
          <w:numId w:val="21"/>
        </w:numPr>
        <w:spacing w:line="276" w:lineRule="auto"/>
        <w:jc w:val="both"/>
        <w:rPr>
          <w:rFonts w:cs="Arial"/>
          <w:sz w:val="22"/>
        </w:rPr>
      </w:pPr>
      <w:r w:rsidRPr="000264FB">
        <w:rPr>
          <w:rFonts w:cs="Arial"/>
          <w:sz w:val="22"/>
        </w:rPr>
        <w:t>náklady na technicko – administrativní zajištění (pronájmy kanceláří a jiných prostor, služby, technické vybavení atd.),</w:t>
      </w:r>
    </w:p>
    <w:p w14:paraId="3123AD3E" w14:textId="77777777" w:rsidR="000264FB" w:rsidRPr="000264FB" w:rsidRDefault="000264FB" w:rsidP="002E4092">
      <w:pPr>
        <w:pStyle w:val="Odstavecseseznamem"/>
        <w:numPr>
          <w:ilvl w:val="0"/>
          <w:numId w:val="21"/>
        </w:numPr>
        <w:spacing w:line="276" w:lineRule="auto"/>
        <w:jc w:val="both"/>
        <w:rPr>
          <w:rFonts w:cs="Arial"/>
          <w:sz w:val="22"/>
        </w:rPr>
      </w:pPr>
      <w:r w:rsidRPr="000264FB">
        <w:rPr>
          <w:rFonts w:cs="Arial"/>
          <w:sz w:val="22"/>
        </w:rPr>
        <w:t>náklady na marketing a reprezentaci,</w:t>
      </w:r>
    </w:p>
    <w:p w14:paraId="40B9E9CE" w14:textId="27F2B4BE" w:rsidR="000264FB" w:rsidRPr="000264FB" w:rsidRDefault="000264FB" w:rsidP="002E4092">
      <w:pPr>
        <w:pStyle w:val="Odstavecseseznamem"/>
        <w:numPr>
          <w:ilvl w:val="0"/>
          <w:numId w:val="21"/>
        </w:numPr>
        <w:spacing w:line="276" w:lineRule="auto"/>
        <w:jc w:val="both"/>
        <w:rPr>
          <w:rFonts w:cs="Arial"/>
          <w:sz w:val="22"/>
        </w:rPr>
      </w:pPr>
      <w:r w:rsidRPr="000264FB">
        <w:rPr>
          <w:rFonts w:cs="Arial"/>
          <w:sz w:val="22"/>
        </w:rPr>
        <w:t>náklady na analýzy a studie nezbytně související s procesem přípravy a implementace Strategie</w:t>
      </w:r>
      <w:r w:rsidR="009E5C8D">
        <w:rPr>
          <w:rFonts w:cs="Arial"/>
          <w:sz w:val="22"/>
        </w:rPr>
        <w:t xml:space="preserve"> RE:START</w:t>
      </w:r>
      <w:r w:rsidRPr="000264FB">
        <w:rPr>
          <w:rFonts w:cs="Arial"/>
          <w:sz w:val="22"/>
        </w:rPr>
        <w:t xml:space="preserve"> i ve vazbě na implementaci / aktualizace Plánu spravedlivé územní transformace v rámci Operačního programu Spravedlivá Transformace.</w:t>
      </w:r>
    </w:p>
    <w:p w14:paraId="374B6C36" w14:textId="77777777" w:rsidR="000264FB" w:rsidRPr="00187377" w:rsidRDefault="000264FB" w:rsidP="008970A9">
      <w:pPr>
        <w:pStyle w:val="Nadpis2"/>
        <w:jc w:val="both"/>
        <w:rPr>
          <w:rFonts w:cs="Arial"/>
        </w:rPr>
      </w:pPr>
      <w:bookmarkStart w:id="26" w:name="_Toc175743047"/>
      <w:r w:rsidRPr="00187377">
        <w:rPr>
          <w:rFonts w:cs="Arial"/>
        </w:rPr>
        <w:t>Financování opatření Souhrnného akčního plánu</w:t>
      </w:r>
      <w:bookmarkEnd w:id="26"/>
    </w:p>
    <w:p w14:paraId="63832E6E" w14:textId="7D2A37C0" w:rsidR="000264FB" w:rsidRPr="000264FB" w:rsidRDefault="000264FB" w:rsidP="008970A9">
      <w:pPr>
        <w:autoSpaceDE w:val="0"/>
        <w:autoSpaceDN w:val="0"/>
        <w:adjustRightInd w:val="0"/>
        <w:spacing w:line="276" w:lineRule="auto"/>
        <w:jc w:val="both"/>
        <w:rPr>
          <w:rFonts w:cs="Arial"/>
          <w:color w:val="000000"/>
          <w:sz w:val="22"/>
        </w:rPr>
      </w:pPr>
      <w:r w:rsidRPr="000264FB">
        <w:rPr>
          <w:rFonts w:cs="Arial"/>
          <w:color w:val="000000"/>
          <w:sz w:val="22"/>
        </w:rPr>
        <w:t>Pro realizaci opatření a intervencí akčního plánu Strategie</w:t>
      </w:r>
      <w:r w:rsidR="009E5C8D">
        <w:rPr>
          <w:rFonts w:cs="Arial"/>
          <w:color w:val="000000"/>
          <w:sz w:val="22"/>
        </w:rPr>
        <w:t xml:space="preserve"> RE:START</w:t>
      </w:r>
      <w:r w:rsidRPr="000264FB">
        <w:rPr>
          <w:rFonts w:cs="Arial"/>
          <w:color w:val="000000"/>
          <w:sz w:val="22"/>
        </w:rPr>
        <w:t xml:space="preserve"> by měly být v maximální míře využity prostředky stávajících programů jak národních, tak evropských fondů (ve vztahu k programovému období Evropské unie 2021-2027 je potřeba specificky zdůraznit restrukturalizační a transformační potenciál FST a Modernizačního fondu). Pokud nebude možné využít stávající prostředky přímo, např. kvůli poněkud odlišnému nastavení současných podmínek, je třeba hledat cesty jak existující programy a intervenční nástroje modifikovat tak, aby jimi bylo možné financovat opatření na podporu restrukturalizace. </w:t>
      </w:r>
    </w:p>
    <w:p w14:paraId="3A99117F" w14:textId="77777777" w:rsidR="000264FB" w:rsidRPr="000264FB" w:rsidRDefault="000264FB" w:rsidP="008970A9">
      <w:pPr>
        <w:autoSpaceDE w:val="0"/>
        <w:autoSpaceDN w:val="0"/>
        <w:adjustRightInd w:val="0"/>
        <w:spacing w:line="276" w:lineRule="auto"/>
        <w:jc w:val="both"/>
        <w:rPr>
          <w:rFonts w:cs="Arial"/>
          <w:color w:val="000000"/>
          <w:sz w:val="22"/>
        </w:rPr>
      </w:pPr>
      <w:r w:rsidRPr="000264FB">
        <w:rPr>
          <w:rFonts w:cs="Arial"/>
          <w:color w:val="000000"/>
          <w:sz w:val="22"/>
        </w:rPr>
        <w:t>Některá opatření, např. na podporu podnikání, na rekultivace či využití rekultivovaných ploch, mohou či budou vyžadovat vytvoření národního programu či programů, specificky zaměřených na strukturálně postižené kraje, a to v případě, kdy využití dosavadních prostředků bude nemožné, nebo jejich alokace bude nedostačující. Návrhy na podporu či zvýhodnění určitých aktivit v rámci existujících titulů počítají s respektováním vyjednaných podmínek veřejné podpory pro konkrétní aktivity. V rámci iniciace nových dotačních titulů bude budoucí poskytovatel konzultovat nastavení veřejné podpory s odpovědnými institucemi.</w:t>
      </w:r>
    </w:p>
    <w:p w14:paraId="1D40FF51" w14:textId="77777777" w:rsidR="000264FB" w:rsidRPr="000264FB" w:rsidRDefault="000264FB" w:rsidP="008970A9">
      <w:pPr>
        <w:autoSpaceDE w:val="0"/>
        <w:autoSpaceDN w:val="0"/>
        <w:adjustRightInd w:val="0"/>
        <w:spacing w:line="276" w:lineRule="auto"/>
        <w:jc w:val="both"/>
        <w:rPr>
          <w:rFonts w:cs="Arial"/>
          <w:color w:val="000000"/>
          <w:sz w:val="22"/>
        </w:rPr>
      </w:pPr>
      <w:r w:rsidRPr="000264FB">
        <w:rPr>
          <w:rFonts w:cs="Arial"/>
          <w:color w:val="000000"/>
          <w:sz w:val="22"/>
        </w:rPr>
        <w:t xml:space="preserve">Prostředky fondů EU pokrývají široké spektrum možných aktivit a cílů, jak hospodářského rozvoje, tak sociálního začleňování a lze je využít také pro hospodářskou restrukturalizaci strukturálně postižených krajů. Vzhledem ke specifické situaci strukturálně postižených krajů lze některá opatření podpořit např. cílenými výzvami, které budou zaměřeny na konkrétní typy projektů, cílových skupin a výsledků. Vzhledem ke koncentraci problémů v těchto krajích mohou takovéto specifické výzvy fungovat jako pilotní ověření rozsáhlejších národních programů, které by se poté mohly realizovat v celé ČR. </w:t>
      </w:r>
    </w:p>
    <w:p w14:paraId="618F9985" w14:textId="77777777" w:rsidR="000264FB" w:rsidRPr="000264FB" w:rsidRDefault="000264FB" w:rsidP="008970A9">
      <w:pPr>
        <w:autoSpaceDE w:val="0"/>
        <w:autoSpaceDN w:val="0"/>
        <w:adjustRightInd w:val="0"/>
        <w:spacing w:line="276" w:lineRule="auto"/>
        <w:jc w:val="both"/>
        <w:rPr>
          <w:rFonts w:cs="Arial"/>
          <w:b/>
          <w:bCs/>
          <w:color w:val="000000"/>
          <w:sz w:val="22"/>
        </w:rPr>
      </w:pPr>
      <w:r w:rsidRPr="000264FB">
        <w:rPr>
          <w:rFonts w:cs="Arial"/>
          <w:color w:val="000000"/>
          <w:sz w:val="22"/>
        </w:rPr>
        <w:t xml:space="preserve">Vybraná opatření, zejména taková, která budou přinášet výsledky až po určité době a vyžadují strategické rozhodování a plánování realizace, případně návaznost na jiná opatření, musí mít zajištěny dlouhodobé finanční zdroje, které umožní předpovídat dostupnost finančních prostředků a plánování realizačních aktivit na několik let, nikoliv ad hoc dle každoročních </w:t>
      </w:r>
      <w:r w:rsidRPr="000264FB">
        <w:rPr>
          <w:rFonts w:cs="Arial"/>
          <w:color w:val="000000"/>
          <w:sz w:val="22"/>
        </w:rPr>
        <w:lastRenderedPageBreak/>
        <w:t xml:space="preserve">rozpočtů (s ohledem na platnou legislativu se jako vhodné jeví využívání právě fondů EU). Tyto zdroje však musí být podmíněny dosahováním dílčích výsledků a prokazováním přínosů k restrukturalizaci. Subjekt, který bude zodpovědný za realizaci příslušných opatření, bude zodpovídat nikoliv pouze za technicky/formálně správnou administraci přidělených finančních prostředků, ale za dosažené výsledky. </w:t>
      </w:r>
    </w:p>
    <w:p w14:paraId="5D016E03" w14:textId="77777777" w:rsidR="000264FB" w:rsidRPr="00187377" w:rsidRDefault="000264FB" w:rsidP="008970A9">
      <w:pPr>
        <w:pStyle w:val="Nadpis2"/>
        <w:jc w:val="both"/>
        <w:rPr>
          <w:rFonts w:cs="Arial"/>
        </w:rPr>
      </w:pPr>
      <w:bookmarkStart w:id="27" w:name="_Toc175743048"/>
      <w:r>
        <w:rPr>
          <w:rFonts w:cs="Arial"/>
        </w:rPr>
        <w:t>Fond pro spravedlivou transformaci</w:t>
      </w:r>
      <w:bookmarkEnd w:id="27"/>
    </w:p>
    <w:p w14:paraId="1AE65C1B" w14:textId="77777777" w:rsidR="000264FB" w:rsidRPr="000264FB" w:rsidRDefault="000264FB" w:rsidP="008970A9">
      <w:pPr>
        <w:jc w:val="both"/>
        <w:rPr>
          <w:rFonts w:cs="Arial"/>
          <w:color w:val="000000"/>
          <w:sz w:val="22"/>
        </w:rPr>
      </w:pPr>
      <w:r w:rsidRPr="000264FB">
        <w:rPr>
          <w:rFonts w:cs="Arial"/>
          <w:sz w:val="22"/>
        </w:rPr>
        <w:t xml:space="preserve">FST představuje jeden ze základních nástrojů pro posílení restrukturalizačních a transformačních aktivit na území dotčených regionů. </w:t>
      </w:r>
      <w:r w:rsidRPr="000264FB">
        <w:rPr>
          <w:rFonts w:cs="Arial"/>
          <w:color w:val="000000"/>
          <w:sz w:val="22"/>
        </w:rPr>
        <w:t>Strategie RE:START byla vstupním dokumentem pro zpracování Plánu spravedlivé územní transformace (PSÚT) na jehož základě byl vytvořen Operační program Spravedlivá transformace.</w:t>
      </w:r>
    </w:p>
    <w:p w14:paraId="12684AAF" w14:textId="1017C474" w:rsidR="000264FB" w:rsidRPr="000264FB" w:rsidRDefault="000264FB" w:rsidP="008970A9">
      <w:pPr>
        <w:jc w:val="both"/>
        <w:rPr>
          <w:rFonts w:cs="Arial"/>
          <w:color w:val="000000"/>
          <w:sz w:val="22"/>
        </w:rPr>
      </w:pPr>
      <w:r w:rsidRPr="000264FB">
        <w:rPr>
          <w:rFonts w:cs="Arial"/>
          <w:color w:val="000000"/>
          <w:sz w:val="22"/>
        </w:rPr>
        <w:t xml:space="preserve">Strategie </w:t>
      </w:r>
      <w:r w:rsidR="009E5C8D">
        <w:rPr>
          <w:rFonts w:cs="Arial"/>
          <w:color w:val="000000"/>
          <w:sz w:val="22"/>
        </w:rPr>
        <w:t>RE:START</w:t>
      </w:r>
      <w:r w:rsidR="0059113D">
        <w:rPr>
          <w:rFonts w:cs="Arial"/>
          <w:color w:val="000000"/>
          <w:sz w:val="22"/>
        </w:rPr>
        <w:t xml:space="preserve"> </w:t>
      </w:r>
      <w:r w:rsidRPr="000264FB">
        <w:rPr>
          <w:rFonts w:cs="Arial"/>
          <w:color w:val="000000"/>
          <w:sz w:val="22"/>
        </w:rPr>
        <w:t xml:space="preserve">zohledňuje klíčové aspekty transformace energetiky a aktivity FST mohou přispívat k jejímu naplňování. Rovněž akční plány mohou zahrnovat aktivity, které jsou prioritou krajů v rámci transformace hospodářství a energetiky s využitím nástrojů Mechanismu pro spravedlivou transformaci.  </w:t>
      </w:r>
    </w:p>
    <w:p w14:paraId="4605CB01" w14:textId="77777777" w:rsidR="000264FB" w:rsidRPr="0092465E" w:rsidRDefault="000264FB" w:rsidP="008970A9">
      <w:pPr>
        <w:jc w:val="both"/>
        <w:rPr>
          <w:rFonts w:cs="Arial"/>
          <w:color w:val="000000"/>
        </w:rPr>
      </w:pPr>
    </w:p>
    <w:p w14:paraId="6749BE60" w14:textId="77777777" w:rsidR="000264FB" w:rsidRPr="00187377" w:rsidRDefault="000264FB" w:rsidP="008970A9">
      <w:pPr>
        <w:pStyle w:val="Nadpis1"/>
        <w:ind w:left="369"/>
        <w:jc w:val="both"/>
        <w:rPr>
          <w:rFonts w:cs="Arial"/>
        </w:rPr>
      </w:pPr>
      <w:bookmarkStart w:id="28" w:name="_Toc175743049"/>
      <w:r w:rsidRPr="00187377">
        <w:rPr>
          <w:rFonts w:cs="Arial"/>
        </w:rPr>
        <w:t>Monitorování realizace akčních plánů a hodnocení naplňování Strategického rámce hosp</w:t>
      </w:r>
      <w:r w:rsidRPr="00802558">
        <w:rPr>
          <w:rFonts w:cs="Arial"/>
        </w:rPr>
        <w:t>odářské</w:t>
      </w:r>
      <w:r w:rsidRPr="00187377">
        <w:rPr>
          <w:rFonts w:cs="Arial"/>
        </w:rPr>
        <w:t xml:space="preserve"> restrukturalizace</w:t>
      </w:r>
      <w:bookmarkEnd w:id="28"/>
    </w:p>
    <w:p w14:paraId="131960FD" w14:textId="77777777" w:rsidR="000264FB" w:rsidRPr="00187377" w:rsidRDefault="000264FB" w:rsidP="008970A9">
      <w:pPr>
        <w:pStyle w:val="Nadpis2"/>
        <w:jc w:val="both"/>
        <w:rPr>
          <w:rFonts w:cs="Arial"/>
        </w:rPr>
      </w:pPr>
      <w:bookmarkStart w:id="29" w:name="_Toc175743050"/>
      <w:r w:rsidRPr="00187377">
        <w:rPr>
          <w:rFonts w:cs="Arial"/>
        </w:rPr>
        <w:t xml:space="preserve">Monitorování Akčních plánů a Zpráva o realizaci opatření </w:t>
      </w:r>
      <w:r>
        <w:rPr>
          <w:rFonts w:cs="Arial"/>
        </w:rPr>
        <w:t>a</w:t>
      </w:r>
      <w:r w:rsidRPr="00187377">
        <w:rPr>
          <w:rFonts w:cs="Arial"/>
        </w:rPr>
        <w:t>kčního plánu</w:t>
      </w:r>
      <w:bookmarkEnd w:id="29"/>
    </w:p>
    <w:p w14:paraId="4FAA83E7" w14:textId="77777777" w:rsidR="000264FB" w:rsidRPr="000264FB" w:rsidRDefault="000264FB" w:rsidP="008970A9">
      <w:pPr>
        <w:spacing w:line="276" w:lineRule="auto"/>
        <w:jc w:val="both"/>
        <w:rPr>
          <w:rFonts w:cs="Arial"/>
          <w:sz w:val="22"/>
        </w:rPr>
      </w:pPr>
      <w:r w:rsidRPr="000264FB">
        <w:rPr>
          <w:rFonts w:cs="Arial"/>
          <w:sz w:val="22"/>
        </w:rPr>
        <w:t xml:space="preserve">Výstupem procesu monitorování je </w:t>
      </w:r>
      <w:r w:rsidRPr="000264FB">
        <w:rPr>
          <w:rFonts w:cs="Arial"/>
          <w:b/>
          <w:sz w:val="22"/>
        </w:rPr>
        <w:t xml:space="preserve">Zpráva o realizaci opatření souhrnných akčních plánů hospodářské restrukturalizace Ústeckého, Moravskoslezského a Karlovarského kraje  </w:t>
      </w:r>
      <w:r w:rsidRPr="000264FB">
        <w:rPr>
          <w:rFonts w:cs="Arial"/>
          <w:sz w:val="22"/>
        </w:rPr>
        <w:t>(dále jen „Zpráva o realizaci“), která se zpracovává 1x ročně, vždy ke stavu k 31. 12. daného roku. Zpráva o realizaci musí být zpracována nejpozději do 15. 3. následujícího roku.  Zpráva o realizaci se předkládá vládě ČR každoročně pro informaci k 31. 5., případně společně spolu s návrhem aktualizace akčního plánu</w:t>
      </w:r>
      <w:r w:rsidRPr="000264FB">
        <w:rPr>
          <w:rFonts w:cs="Arial"/>
          <w:color w:val="FF0000"/>
          <w:sz w:val="22"/>
        </w:rPr>
        <w:t xml:space="preserve">. </w:t>
      </w:r>
    </w:p>
    <w:p w14:paraId="5B932562" w14:textId="77777777" w:rsidR="000264FB" w:rsidRPr="000264FB" w:rsidRDefault="000264FB" w:rsidP="008970A9">
      <w:pPr>
        <w:spacing w:line="276" w:lineRule="auto"/>
        <w:jc w:val="both"/>
        <w:rPr>
          <w:rFonts w:cs="Arial"/>
          <w:sz w:val="22"/>
        </w:rPr>
      </w:pPr>
      <w:r w:rsidRPr="000264FB">
        <w:rPr>
          <w:rFonts w:cs="Arial"/>
          <w:sz w:val="22"/>
        </w:rPr>
        <w:t xml:space="preserve">Zprávu o realizaci zpracovává výkonný tým ve spolupráci s nositeli opatření/organizacemi zodpovědnými za realizaci jednotlivých opatření. Nositelé opatření poskytují na vyžádání výkonného týmu informace, data a podklady pro zpracování Zprávy o realizaci v rozsahu a členění podle požadavků. </w:t>
      </w:r>
    </w:p>
    <w:p w14:paraId="370E1318" w14:textId="77777777" w:rsidR="000264FB" w:rsidRPr="000264FB" w:rsidRDefault="000264FB" w:rsidP="008970A9">
      <w:pPr>
        <w:spacing w:line="276" w:lineRule="auto"/>
        <w:jc w:val="both"/>
        <w:rPr>
          <w:rFonts w:cs="Arial"/>
          <w:sz w:val="22"/>
        </w:rPr>
      </w:pPr>
      <w:r w:rsidRPr="000264FB">
        <w:rPr>
          <w:rFonts w:cs="Arial"/>
          <w:sz w:val="22"/>
        </w:rPr>
        <w:t>Zpráva o realizaci obsahuje především následující informace:</w:t>
      </w:r>
    </w:p>
    <w:p w14:paraId="31FF482D" w14:textId="60E12F99" w:rsidR="000264FB" w:rsidRPr="000264FB" w:rsidRDefault="000264FB" w:rsidP="002E4092">
      <w:pPr>
        <w:pStyle w:val="Odstavecseseznamem"/>
        <w:numPr>
          <w:ilvl w:val="0"/>
          <w:numId w:val="18"/>
        </w:numPr>
        <w:spacing w:line="276" w:lineRule="auto"/>
        <w:contextualSpacing w:val="0"/>
        <w:jc w:val="both"/>
        <w:rPr>
          <w:rFonts w:cs="Arial"/>
          <w:sz w:val="22"/>
        </w:rPr>
      </w:pPr>
      <w:r w:rsidRPr="000264FB">
        <w:rPr>
          <w:rFonts w:cs="Arial"/>
          <w:sz w:val="22"/>
        </w:rPr>
        <w:t>Přehled opatření realizovaných v předešlém období a přehled finančních prostředků skutečně vynaložených na daná opatření v členění jednak podle pilířů Strategie</w:t>
      </w:r>
      <w:r w:rsidR="009E5C8D">
        <w:rPr>
          <w:rFonts w:cs="Arial"/>
          <w:sz w:val="22"/>
        </w:rPr>
        <w:t xml:space="preserve"> RE:START</w:t>
      </w:r>
      <w:r w:rsidRPr="000264FB">
        <w:rPr>
          <w:rFonts w:cs="Arial"/>
          <w:sz w:val="22"/>
        </w:rPr>
        <w:t>, jednak podle zdroje financování, a to nejméně v rozlišení fondů EU, respektive fondů kohezní politiky, zdrojů státního rozpočtu, zdrojů krajských a zdrojů obecních rozpočtů.</w:t>
      </w:r>
    </w:p>
    <w:p w14:paraId="2980B2A0" w14:textId="15BE6AB6" w:rsidR="000264FB" w:rsidRPr="000264FB" w:rsidRDefault="000264FB" w:rsidP="002E4092">
      <w:pPr>
        <w:pStyle w:val="Odstavecseseznamem"/>
        <w:numPr>
          <w:ilvl w:val="0"/>
          <w:numId w:val="18"/>
        </w:numPr>
        <w:spacing w:line="276" w:lineRule="auto"/>
        <w:contextualSpacing w:val="0"/>
        <w:jc w:val="both"/>
        <w:rPr>
          <w:rFonts w:cs="Arial"/>
          <w:sz w:val="22"/>
        </w:rPr>
      </w:pPr>
      <w:r w:rsidRPr="000264FB">
        <w:rPr>
          <w:rFonts w:cs="Arial"/>
          <w:sz w:val="22"/>
        </w:rPr>
        <w:t>Informace o probíhajících opatřeních a o stavu jejich realizace, informace o opatřeních ukončených a souhrnné informace o plnění akčního plánu v členění podle pilířů a strategických cílů Strategie</w:t>
      </w:r>
      <w:r w:rsidR="009E5C8D">
        <w:rPr>
          <w:rFonts w:cs="Arial"/>
          <w:sz w:val="22"/>
        </w:rPr>
        <w:t xml:space="preserve"> RE:START</w:t>
      </w:r>
      <w:r w:rsidRPr="000264FB">
        <w:rPr>
          <w:rFonts w:cs="Arial"/>
          <w:sz w:val="22"/>
        </w:rPr>
        <w:t xml:space="preserve">. </w:t>
      </w:r>
    </w:p>
    <w:p w14:paraId="49517A84" w14:textId="77777777" w:rsidR="000264FB" w:rsidRPr="000264FB" w:rsidRDefault="000264FB" w:rsidP="002E4092">
      <w:pPr>
        <w:pStyle w:val="Odstavecseseznamem"/>
        <w:numPr>
          <w:ilvl w:val="0"/>
          <w:numId w:val="18"/>
        </w:numPr>
        <w:spacing w:line="276" w:lineRule="auto"/>
        <w:contextualSpacing w:val="0"/>
        <w:jc w:val="both"/>
        <w:rPr>
          <w:rFonts w:cs="Arial"/>
          <w:sz w:val="22"/>
        </w:rPr>
      </w:pPr>
      <w:r w:rsidRPr="000264FB">
        <w:rPr>
          <w:rFonts w:cs="Arial"/>
          <w:sz w:val="22"/>
        </w:rPr>
        <w:t xml:space="preserve">Přehled výsledků, kterých bylo dosaženo v jednotlivých opatřeních akčního plánu v předešlém období a informaci o tom, jak tyto výsledky přispěly k naplnění cílů daného opatření. </w:t>
      </w:r>
    </w:p>
    <w:p w14:paraId="55D6045A" w14:textId="0CC8D81F" w:rsidR="000264FB" w:rsidRPr="000264FB" w:rsidRDefault="000264FB" w:rsidP="002E4092">
      <w:pPr>
        <w:pStyle w:val="Odstavecseseznamem"/>
        <w:numPr>
          <w:ilvl w:val="0"/>
          <w:numId w:val="18"/>
        </w:numPr>
        <w:spacing w:line="276" w:lineRule="auto"/>
        <w:contextualSpacing w:val="0"/>
        <w:jc w:val="both"/>
        <w:rPr>
          <w:rFonts w:cs="Arial"/>
          <w:sz w:val="22"/>
        </w:rPr>
      </w:pPr>
      <w:r w:rsidRPr="000264FB">
        <w:rPr>
          <w:rFonts w:cs="Arial"/>
          <w:sz w:val="22"/>
        </w:rPr>
        <w:lastRenderedPageBreak/>
        <w:t xml:space="preserve">Informaci o postupu realizace Strategie </w:t>
      </w:r>
      <w:r w:rsidR="009E5C8D">
        <w:rPr>
          <w:rFonts w:cs="Arial"/>
          <w:sz w:val="22"/>
        </w:rPr>
        <w:t>RE:START</w:t>
      </w:r>
      <w:r w:rsidR="0059113D">
        <w:rPr>
          <w:rFonts w:cs="Arial"/>
          <w:sz w:val="22"/>
        </w:rPr>
        <w:t xml:space="preserve"> </w:t>
      </w:r>
      <w:r w:rsidRPr="000264FB">
        <w:rPr>
          <w:rFonts w:cs="Arial"/>
          <w:sz w:val="22"/>
        </w:rPr>
        <w:t>prostřednictvím akčních plánů – informaci o naplňování cílů příslušného strategického cíle Strategie</w:t>
      </w:r>
      <w:r w:rsidR="009E5C8D">
        <w:rPr>
          <w:rFonts w:cs="Arial"/>
          <w:sz w:val="22"/>
        </w:rPr>
        <w:t xml:space="preserve"> RE:START</w:t>
      </w:r>
      <w:r w:rsidRPr="000264FB">
        <w:rPr>
          <w:rFonts w:cs="Arial"/>
          <w:sz w:val="22"/>
        </w:rPr>
        <w:t>:</w:t>
      </w:r>
    </w:p>
    <w:p w14:paraId="0E71C7D7" w14:textId="618383EB" w:rsidR="000264FB" w:rsidRPr="000264FB" w:rsidRDefault="000264FB" w:rsidP="002E4092">
      <w:pPr>
        <w:numPr>
          <w:ilvl w:val="1"/>
          <w:numId w:val="18"/>
        </w:numPr>
        <w:spacing w:after="200" w:line="276" w:lineRule="auto"/>
        <w:jc w:val="both"/>
        <w:rPr>
          <w:rFonts w:eastAsia="MS Mincho" w:cs="Arial"/>
          <w:sz w:val="22"/>
        </w:rPr>
      </w:pPr>
      <w:r w:rsidRPr="000264FB">
        <w:rPr>
          <w:rFonts w:eastAsia="MS Mincho" w:cs="Arial"/>
          <w:sz w:val="22"/>
        </w:rPr>
        <w:t>Informaci o postupu naplňování cílů Strategie</w:t>
      </w:r>
      <w:r w:rsidR="009E5C8D">
        <w:rPr>
          <w:rFonts w:eastAsia="MS Mincho" w:cs="Arial"/>
          <w:sz w:val="22"/>
        </w:rPr>
        <w:t xml:space="preserve"> RE:START</w:t>
      </w:r>
      <w:r w:rsidRPr="000264FB">
        <w:rPr>
          <w:rFonts w:eastAsia="MS Mincho" w:cs="Arial"/>
          <w:sz w:val="22"/>
        </w:rPr>
        <w:t xml:space="preserve"> a o dosažených výsledcích na základě ukončených intervencí nebo intervencí probíhajících v předešlém roce.</w:t>
      </w:r>
    </w:p>
    <w:p w14:paraId="3E0C4019" w14:textId="77777777" w:rsidR="000264FB" w:rsidRPr="000264FB" w:rsidRDefault="000264FB" w:rsidP="002E4092">
      <w:pPr>
        <w:numPr>
          <w:ilvl w:val="1"/>
          <w:numId w:val="18"/>
        </w:numPr>
        <w:spacing w:after="200" w:line="276" w:lineRule="auto"/>
        <w:jc w:val="both"/>
        <w:rPr>
          <w:rFonts w:eastAsia="MS Mincho" w:cs="Arial"/>
          <w:sz w:val="22"/>
        </w:rPr>
      </w:pPr>
      <w:r w:rsidRPr="000264FB">
        <w:rPr>
          <w:rFonts w:eastAsia="MS Mincho" w:cs="Arial"/>
          <w:sz w:val="22"/>
        </w:rPr>
        <w:t>Informaci o plánovaném naplňování cílů a o plánovaných výsledcích na základě probíhajících a plánovaných intervencí, na rok, v němž je Zpráva o realizaci předkládána a na další rok.</w:t>
      </w:r>
    </w:p>
    <w:p w14:paraId="7703D360" w14:textId="77777777" w:rsidR="000264FB" w:rsidRPr="000264FB" w:rsidRDefault="000264FB" w:rsidP="002E4092">
      <w:pPr>
        <w:pStyle w:val="Odstavecseseznamem"/>
        <w:numPr>
          <w:ilvl w:val="0"/>
          <w:numId w:val="18"/>
        </w:numPr>
        <w:spacing w:line="276" w:lineRule="auto"/>
        <w:contextualSpacing w:val="0"/>
        <w:jc w:val="both"/>
        <w:rPr>
          <w:rFonts w:cs="Arial"/>
          <w:sz w:val="22"/>
        </w:rPr>
      </w:pPr>
      <w:r w:rsidRPr="000264FB">
        <w:rPr>
          <w:rFonts w:cs="Arial"/>
          <w:sz w:val="22"/>
        </w:rPr>
        <w:t xml:space="preserve">Informace o návaznosti/spolupůsobení či naopak o nedostatcích v návaznosti těch opatření akčního plánu, která na sebe mají navazovat nebo se navzájem podmiňují a informace o koordinaci opatření mezi jednotlivými nositeli opatření. </w:t>
      </w:r>
    </w:p>
    <w:p w14:paraId="68D0F0F9" w14:textId="77777777" w:rsidR="000264FB" w:rsidRPr="000264FB" w:rsidRDefault="000264FB" w:rsidP="002E4092">
      <w:pPr>
        <w:pStyle w:val="Odstavecseseznamem"/>
        <w:numPr>
          <w:ilvl w:val="0"/>
          <w:numId w:val="18"/>
        </w:numPr>
        <w:spacing w:line="276" w:lineRule="auto"/>
        <w:contextualSpacing w:val="0"/>
        <w:jc w:val="both"/>
        <w:rPr>
          <w:rFonts w:cs="Arial"/>
          <w:sz w:val="22"/>
        </w:rPr>
      </w:pPr>
      <w:r w:rsidRPr="000264FB">
        <w:rPr>
          <w:rFonts w:cs="Arial"/>
          <w:sz w:val="22"/>
        </w:rPr>
        <w:t>Informaci o rizicích, překážkách a nedostatcích realizace.</w:t>
      </w:r>
    </w:p>
    <w:p w14:paraId="32B97E43" w14:textId="2797FB4E" w:rsidR="000264FB" w:rsidRPr="000264FB" w:rsidRDefault="000264FB" w:rsidP="008970A9">
      <w:pPr>
        <w:spacing w:after="200" w:line="276" w:lineRule="auto"/>
        <w:jc w:val="both"/>
        <w:rPr>
          <w:rFonts w:eastAsia="MS Mincho" w:cs="Arial"/>
          <w:sz w:val="22"/>
        </w:rPr>
      </w:pPr>
      <w:r w:rsidRPr="000264FB">
        <w:rPr>
          <w:rFonts w:eastAsia="MS Mincho" w:cs="Arial"/>
          <w:sz w:val="22"/>
        </w:rPr>
        <w:t>Zpráva o realizaci zahrnuje rovněž souhrn doporučení pro realizaci akčního plánu v daném a následujícím roce. V případě, že se zpracovávají specifická hodnocení, zahrnuje Zpráva o realizaci také hlavní závěry a doporučení z těchto hodnocení. Zpráva také může zahrnovat závěry analýz apod., ze kterých mohou vyplývat závěry pro zaměření opatření v dalších letech a návrhy na aktualizaci Strategie</w:t>
      </w:r>
      <w:r w:rsidR="009E5C8D">
        <w:rPr>
          <w:rFonts w:eastAsia="MS Mincho" w:cs="Arial"/>
          <w:sz w:val="22"/>
        </w:rPr>
        <w:t xml:space="preserve"> RE:START</w:t>
      </w:r>
      <w:r w:rsidRPr="000264FB">
        <w:rPr>
          <w:rFonts w:eastAsia="MS Mincho" w:cs="Arial"/>
          <w:sz w:val="22"/>
        </w:rPr>
        <w:t xml:space="preserve">. Zprávy o realizaci předkládá MMR ke schválení vládě ČR. </w:t>
      </w:r>
    </w:p>
    <w:p w14:paraId="112DA935" w14:textId="076DC137" w:rsidR="000264FB" w:rsidRPr="00187377" w:rsidRDefault="000264FB" w:rsidP="008970A9">
      <w:pPr>
        <w:pStyle w:val="Nadpis2"/>
        <w:jc w:val="both"/>
        <w:rPr>
          <w:rFonts w:cs="Arial"/>
        </w:rPr>
      </w:pPr>
      <w:bookmarkStart w:id="30" w:name="_Toc175743051"/>
      <w:r w:rsidRPr="00187377">
        <w:rPr>
          <w:rFonts w:cs="Arial"/>
        </w:rPr>
        <w:t xml:space="preserve">Hodnocení plnění </w:t>
      </w:r>
      <w:r>
        <w:rPr>
          <w:rFonts w:cs="Arial"/>
        </w:rPr>
        <w:t>Strategie</w:t>
      </w:r>
      <w:r w:rsidR="009E5C8D">
        <w:rPr>
          <w:rFonts w:cs="Arial"/>
        </w:rPr>
        <w:t xml:space="preserve"> RE:START</w:t>
      </w:r>
      <w:bookmarkEnd w:id="30"/>
    </w:p>
    <w:p w14:paraId="1FC11A11" w14:textId="57F59D7A" w:rsidR="000264FB" w:rsidRPr="000264FB" w:rsidRDefault="000264FB" w:rsidP="008970A9">
      <w:pPr>
        <w:spacing w:after="200" w:line="276" w:lineRule="auto"/>
        <w:jc w:val="both"/>
        <w:rPr>
          <w:rFonts w:cs="Arial"/>
          <w:sz w:val="22"/>
        </w:rPr>
      </w:pPr>
      <w:r w:rsidRPr="000264FB">
        <w:rPr>
          <w:rFonts w:cs="Arial"/>
          <w:sz w:val="22"/>
        </w:rPr>
        <w:t>Hodnocení Strategie</w:t>
      </w:r>
      <w:r w:rsidR="009E5C8D">
        <w:rPr>
          <w:rFonts w:cs="Arial"/>
          <w:sz w:val="22"/>
        </w:rPr>
        <w:t xml:space="preserve"> RE:START</w:t>
      </w:r>
      <w:r w:rsidRPr="000264FB">
        <w:rPr>
          <w:rFonts w:cs="Arial"/>
          <w:sz w:val="22"/>
        </w:rPr>
        <w:t xml:space="preserve"> (z něhož se odvíjejí jednotlivé akční plány) se zpracovává jako tzv. „průběžné hodnocení“, nejméně jednou za tři roky formou aktualizace Strategického rámce Strategie RE:START.</w:t>
      </w:r>
    </w:p>
    <w:p w14:paraId="4E11C069" w14:textId="77777777" w:rsidR="000264FB" w:rsidRPr="000264FB" w:rsidRDefault="000264FB" w:rsidP="008970A9">
      <w:pPr>
        <w:spacing w:after="200" w:line="276" w:lineRule="auto"/>
        <w:jc w:val="both"/>
        <w:rPr>
          <w:rFonts w:cs="Arial"/>
          <w:sz w:val="22"/>
        </w:rPr>
      </w:pPr>
      <w:r w:rsidRPr="000264FB">
        <w:rPr>
          <w:rFonts w:cs="Arial"/>
          <w:sz w:val="22"/>
        </w:rPr>
        <w:t xml:space="preserve">Hodnocení se zaměřuje především na: </w:t>
      </w:r>
    </w:p>
    <w:p w14:paraId="1A0F6BDE" w14:textId="1E31E4A6" w:rsidR="000264FB" w:rsidRPr="000264FB" w:rsidRDefault="000264FB" w:rsidP="002E4092">
      <w:pPr>
        <w:pStyle w:val="Odstavecseseznamem"/>
        <w:numPr>
          <w:ilvl w:val="0"/>
          <w:numId w:val="19"/>
        </w:numPr>
        <w:spacing w:line="276" w:lineRule="auto"/>
        <w:contextualSpacing w:val="0"/>
        <w:jc w:val="both"/>
        <w:rPr>
          <w:rFonts w:cs="Arial"/>
          <w:sz w:val="22"/>
        </w:rPr>
      </w:pPr>
      <w:r w:rsidRPr="000264FB">
        <w:rPr>
          <w:rFonts w:cs="Arial"/>
          <w:sz w:val="22"/>
        </w:rPr>
        <w:t>Postup dosahování strategických cílů Strategie</w:t>
      </w:r>
      <w:r w:rsidR="009E5C8D">
        <w:rPr>
          <w:rFonts w:cs="Arial"/>
          <w:sz w:val="22"/>
        </w:rPr>
        <w:t xml:space="preserve"> RE:START</w:t>
      </w:r>
      <w:r w:rsidRPr="000264FB">
        <w:rPr>
          <w:rFonts w:cs="Arial"/>
          <w:sz w:val="22"/>
        </w:rPr>
        <w:t xml:space="preserve">, a to měřený jak prostřednictvím ukazatelů, které jsou ve Strategii uvedeny, tak prostřednictvím dalších informací, </w:t>
      </w:r>
      <w:r w:rsidRPr="000264FB">
        <w:rPr>
          <w:rFonts w:cs="Arial"/>
          <w:sz w:val="22"/>
        </w:rPr>
        <w:br/>
        <w:t>vč. informací kontextových a ukazatelů dodatečných, které ve Strategii nejsou uvedeny (formou aktualizace vstupní analýzy).</w:t>
      </w:r>
    </w:p>
    <w:p w14:paraId="5CA9D074" w14:textId="77777777" w:rsidR="000264FB" w:rsidRPr="000264FB" w:rsidRDefault="000264FB" w:rsidP="002E4092">
      <w:pPr>
        <w:pStyle w:val="Odstavecseseznamem"/>
        <w:numPr>
          <w:ilvl w:val="0"/>
          <w:numId w:val="19"/>
        </w:numPr>
        <w:spacing w:line="276" w:lineRule="auto"/>
        <w:contextualSpacing w:val="0"/>
        <w:jc w:val="both"/>
        <w:rPr>
          <w:rFonts w:cs="Arial"/>
          <w:sz w:val="22"/>
        </w:rPr>
      </w:pPr>
      <w:r w:rsidRPr="000264FB">
        <w:rPr>
          <w:rFonts w:cs="Arial"/>
          <w:sz w:val="22"/>
        </w:rPr>
        <w:t xml:space="preserve">Organizační a institucionální zajištění realizace akčních plánů, spolupráci jednotlivých aktérů při realizaci, a to jak na spolupráci na národní úrovni, na spolupráci národní a krajské úrovně a na spolupráci aktérů v krajích.  </w:t>
      </w:r>
    </w:p>
    <w:p w14:paraId="79AEE3CE" w14:textId="77777777" w:rsidR="000264FB" w:rsidRPr="000264FB" w:rsidRDefault="000264FB" w:rsidP="002E4092">
      <w:pPr>
        <w:pStyle w:val="Odstavecseseznamem"/>
        <w:numPr>
          <w:ilvl w:val="0"/>
          <w:numId w:val="19"/>
        </w:numPr>
        <w:spacing w:line="276" w:lineRule="auto"/>
        <w:contextualSpacing w:val="0"/>
        <w:jc w:val="both"/>
        <w:rPr>
          <w:rFonts w:cs="Arial"/>
          <w:sz w:val="22"/>
        </w:rPr>
      </w:pPr>
      <w:r w:rsidRPr="000264FB">
        <w:rPr>
          <w:rFonts w:cs="Arial"/>
          <w:sz w:val="22"/>
        </w:rPr>
        <w:t>Identifikaci nedostatků a překážek realizace akčních plánů a na příklady dobré praxe, které by se měly rozšířit.</w:t>
      </w:r>
    </w:p>
    <w:p w14:paraId="456644BB" w14:textId="6BC4B9DB" w:rsidR="000264FB" w:rsidRPr="000264FB" w:rsidRDefault="000264FB" w:rsidP="002E4092">
      <w:pPr>
        <w:pStyle w:val="Odstavecseseznamem"/>
        <w:numPr>
          <w:ilvl w:val="0"/>
          <w:numId w:val="19"/>
        </w:numPr>
        <w:spacing w:after="200" w:line="276" w:lineRule="auto"/>
        <w:jc w:val="both"/>
        <w:rPr>
          <w:rFonts w:cs="Arial"/>
          <w:sz w:val="22"/>
        </w:rPr>
      </w:pPr>
      <w:r w:rsidRPr="000264FB">
        <w:rPr>
          <w:rFonts w:cs="Arial"/>
          <w:sz w:val="22"/>
        </w:rPr>
        <w:t>Návrh aktualizace Strategie</w:t>
      </w:r>
      <w:r w:rsidR="009E5C8D">
        <w:rPr>
          <w:rFonts w:cs="Arial"/>
          <w:sz w:val="22"/>
        </w:rPr>
        <w:t xml:space="preserve"> RE:START</w:t>
      </w:r>
      <w:r w:rsidRPr="000264FB">
        <w:rPr>
          <w:rFonts w:cs="Arial"/>
          <w:sz w:val="22"/>
        </w:rPr>
        <w:t xml:space="preserve"> a na doporučení pro realizaci akčních plánů v dalších letech a na koordinaci jednotlivých opatření.  </w:t>
      </w:r>
    </w:p>
    <w:p w14:paraId="1AE3B919" w14:textId="73A7F0AB" w:rsidR="00AD6ED6" w:rsidRPr="0059113D" w:rsidRDefault="000264FB" w:rsidP="0059113D">
      <w:pPr>
        <w:spacing w:after="200" w:line="276" w:lineRule="auto"/>
        <w:jc w:val="both"/>
        <w:rPr>
          <w:rFonts w:cs="Arial"/>
          <w:sz w:val="22"/>
        </w:rPr>
      </w:pPr>
      <w:r w:rsidRPr="000264FB">
        <w:rPr>
          <w:rFonts w:cs="Arial"/>
          <w:sz w:val="22"/>
        </w:rPr>
        <w:t xml:space="preserve">Za zpracování aktualizace Strategického rámce je zodpovědné MMR. </w:t>
      </w:r>
      <w:r w:rsidRPr="000264FB">
        <w:rPr>
          <w:rFonts w:eastAsia="MS Mincho" w:cs="Arial"/>
          <w:sz w:val="22"/>
        </w:rPr>
        <w:t>Výsledky, závěry a doporučení hodnocení plnění Strategie</w:t>
      </w:r>
      <w:r w:rsidR="009E5C8D">
        <w:rPr>
          <w:rFonts w:eastAsia="MS Mincho" w:cs="Arial"/>
          <w:sz w:val="22"/>
        </w:rPr>
        <w:t xml:space="preserve"> RE:START</w:t>
      </w:r>
      <w:r w:rsidRPr="000264FB">
        <w:rPr>
          <w:rFonts w:eastAsia="MS Mincho" w:cs="Arial"/>
          <w:sz w:val="22"/>
        </w:rPr>
        <w:t xml:space="preserve"> se předkládají RSK, Konferenci restrukturalizace a prostřednictvím MMR vládě ČR. </w:t>
      </w:r>
    </w:p>
    <w:p w14:paraId="23B6B2A4" w14:textId="77777777" w:rsidR="00AD6ED6" w:rsidRDefault="00AD6ED6" w:rsidP="000264FB"/>
    <w:p w14:paraId="53C258C4" w14:textId="3DA68515" w:rsidR="00096AD3" w:rsidRPr="0017795C" w:rsidRDefault="00B43E01" w:rsidP="00B70D42">
      <w:pPr>
        <w:pStyle w:val="Nadpis1"/>
        <w:numPr>
          <w:ilvl w:val="0"/>
          <w:numId w:val="0"/>
        </w:numPr>
        <w:ind w:left="283"/>
        <w:jc w:val="center"/>
        <w:rPr>
          <w:rFonts w:eastAsia="Times New Roman" w:cs="Arial"/>
          <w:color w:val="2E74B5"/>
        </w:rPr>
      </w:pPr>
      <w:bookmarkStart w:id="31" w:name="_Toc175743052"/>
      <w:r w:rsidRPr="0017795C">
        <w:rPr>
          <w:rFonts w:eastAsia="Calibri" w:cs="Arial"/>
        </w:rPr>
        <w:t xml:space="preserve">Příloha </w:t>
      </w:r>
      <w:r w:rsidR="000264FB">
        <w:rPr>
          <w:rFonts w:eastAsia="Calibri" w:cs="Arial"/>
        </w:rPr>
        <w:t>B</w:t>
      </w:r>
      <w:r w:rsidR="006027BD">
        <w:rPr>
          <w:rFonts w:eastAsia="Calibri" w:cs="Arial"/>
        </w:rPr>
        <w:t>:</w:t>
      </w:r>
      <w:r w:rsidRPr="0017795C">
        <w:rPr>
          <w:rFonts w:eastAsia="Calibri" w:cs="Arial"/>
        </w:rPr>
        <w:t xml:space="preserve"> </w:t>
      </w:r>
      <w:r w:rsidR="006737CE" w:rsidRPr="0017795C">
        <w:rPr>
          <w:rFonts w:eastAsia="Calibri" w:cs="Arial"/>
        </w:rPr>
        <w:t xml:space="preserve">Protokoly </w:t>
      </w:r>
      <w:r w:rsidRPr="0017795C">
        <w:rPr>
          <w:rFonts w:eastAsia="Calibri" w:cs="Arial"/>
        </w:rPr>
        <w:t>o jednání</w:t>
      </w:r>
      <w:r w:rsidR="006737CE" w:rsidRPr="0017795C">
        <w:rPr>
          <w:rFonts w:eastAsia="Calibri" w:cs="Arial"/>
        </w:rPr>
        <w:t xml:space="preserve"> Regionálních stálých konferencí a tripartit dotčených krajů</w:t>
      </w:r>
      <w:bookmarkEnd w:id="31"/>
      <w:r w:rsidR="006737CE" w:rsidRPr="0017795C">
        <w:rPr>
          <w:rFonts w:eastAsia="Times New Roman" w:cs="Arial"/>
          <w:color w:val="2E74B5"/>
          <w:sz w:val="52"/>
        </w:rPr>
        <w:t xml:space="preserve"> </w:t>
      </w:r>
    </w:p>
    <w:bookmarkEnd w:id="0"/>
    <w:p w14:paraId="574DDAF1" w14:textId="368948EE" w:rsidR="00452578" w:rsidRPr="0017795C" w:rsidRDefault="00452578" w:rsidP="000123B4">
      <w:pPr>
        <w:jc w:val="center"/>
        <w:rPr>
          <w:rFonts w:eastAsia="Times New Roman" w:cs="Arial"/>
          <w:b/>
          <w:sz w:val="32"/>
          <w:szCs w:val="32"/>
        </w:rPr>
      </w:pPr>
    </w:p>
    <w:p w14:paraId="0800CCFF" w14:textId="77777777" w:rsidR="00360024" w:rsidRDefault="00360024" w:rsidP="00360024">
      <w:pPr>
        <w:rPr>
          <w:rFonts w:eastAsia="Times New Roman" w:cs="Arial"/>
          <w:b/>
          <w:bCs/>
          <w:sz w:val="32"/>
          <w:szCs w:val="32"/>
        </w:rPr>
      </w:pPr>
    </w:p>
    <w:p w14:paraId="1FCF1141" w14:textId="77777777" w:rsidR="00360024" w:rsidRDefault="00360024" w:rsidP="39FA81FE">
      <w:pPr>
        <w:jc w:val="center"/>
        <w:rPr>
          <w:rFonts w:eastAsia="Times New Roman" w:cs="Arial"/>
          <w:b/>
          <w:bCs/>
          <w:sz w:val="32"/>
          <w:szCs w:val="32"/>
        </w:rPr>
      </w:pPr>
    </w:p>
    <w:p w14:paraId="3FE01794" w14:textId="77777777" w:rsidR="00360024" w:rsidRDefault="00360024" w:rsidP="00360024">
      <w:pPr>
        <w:rPr>
          <w:rFonts w:eastAsia="Times New Roman" w:cs="Arial"/>
          <w:b/>
          <w:bCs/>
          <w:sz w:val="32"/>
          <w:szCs w:val="32"/>
        </w:rPr>
      </w:pPr>
    </w:p>
    <w:p w14:paraId="2E5183C2" w14:textId="77777777" w:rsidR="00360024" w:rsidRDefault="00360024" w:rsidP="39FA81FE">
      <w:pPr>
        <w:jc w:val="center"/>
        <w:rPr>
          <w:rFonts w:eastAsia="Times New Roman" w:cs="Arial"/>
          <w:b/>
          <w:bCs/>
          <w:sz w:val="32"/>
          <w:szCs w:val="32"/>
        </w:rPr>
      </w:pPr>
    </w:p>
    <w:p w14:paraId="4D61E53B" w14:textId="77777777" w:rsidR="00360024" w:rsidRDefault="00360024" w:rsidP="39FA81FE">
      <w:pPr>
        <w:jc w:val="center"/>
        <w:rPr>
          <w:rFonts w:eastAsia="Times New Roman" w:cs="Arial"/>
          <w:b/>
          <w:bCs/>
          <w:sz w:val="32"/>
          <w:szCs w:val="32"/>
        </w:rPr>
      </w:pPr>
    </w:p>
    <w:p w14:paraId="79303E6F" w14:textId="7C9BB2DB" w:rsidR="000123B4" w:rsidRPr="0017795C" w:rsidRDefault="000123B4" w:rsidP="39FA81FE">
      <w:pPr>
        <w:jc w:val="center"/>
        <w:rPr>
          <w:rFonts w:eastAsia="Times New Roman" w:cs="Arial"/>
          <w:b/>
          <w:bCs/>
          <w:sz w:val="32"/>
          <w:szCs w:val="32"/>
        </w:rPr>
      </w:pPr>
    </w:p>
    <w:p w14:paraId="742D4352" w14:textId="5E07DEF6" w:rsidR="000123B4" w:rsidRPr="0017795C" w:rsidRDefault="000123B4" w:rsidP="39FA81FE">
      <w:pPr>
        <w:jc w:val="center"/>
        <w:rPr>
          <w:rFonts w:eastAsia="Times New Roman" w:cs="Arial"/>
          <w:b/>
          <w:bCs/>
          <w:sz w:val="32"/>
          <w:szCs w:val="32"/>
        </w:rPr>
      </w:pPr>
    </w:p>
    <w:p w14:paraId="6187D549" w14:textId="0D0B56F1" w:rsidR="000123B4" w:rsidRDefault="000123B4" w:rsidP="000123B4">
      <w:pPr>
        <w:jc w:val="center"/>
        <w:rPr>
          <w:rFonts w:eastAsia="Times New Roman" w:cs="Arial"/>
          <w:b/>
          <w:sz w:val="32"/>
          <w:szCs w:val="32"/>
        </w:rPr>
      </w:pPr>
    </w:p>
    <w:p w14:paraId="2B7B274E" w14:textId="3F1AC356" w:rsidR="00360024" w:rsidRDefault="00360024" w:rsidP="000123B4">
      <w:pPr>
        <w:jc w:val="center"/>
        <w:rPr>
          <w:rFonts w:eastAsia="Times New Roman" w:cs="Arial"/>
          <w:b/>
          <w:sz w:val="32"/>
          <w:szCs w:val="32"/>
        </w:rPr>
      </w:pPr>
    </w:p>
    <w:p w14:paraId="00C4834D" w14:textId="7C2978AF" w:rsidR="00360024" w:rsidRDefault="00360024" w:rsidP="00360024">
      <w:pPr>
        <w:rPr>
          <w:rFonts w:eastAsia="Times New Roman" w:cs="Arial"/>
          <w:b/>
          <w:sz w:val="32"/>
          <w:szCs w:val="32"/>
        </w:rPr>
      </w:pPr>
    </w:p>
    <w:p w14:paraId="1F3B6EB7" w14:textId="07625925" w:rsidR="00360024" w:rsidRDefault="00360024" w:rsidP="000123B4">
      <w:pPr>
        <w:jc w:val="center"/>
        <w:rPr>
          <w:rFonts w:eastAsia="Times New Roman" w:cs="Arial"/>
          <w:b/>
          <w:sz w:val="32"/>
          <w:szCs w:val="32"/>
        </w:rPr>
      </w:pPr>
    </w:p>
    <w:p w14:paraId="7D46F5DD" w14:textId="77777777" w:rsidR="000264FB" w:rsidRDefault="000264FB" w:rsidP="00B70D42">
      <w:pPr>
        <w:pStyle w:val="Nadpis1"/>
        <w:numPr>
          <w:ilvl w:val="0"/>
          <w:numId w:val="0"/>
        </w:numPr>
        <w:jc w:val="both"/>
        <w:rPr>
          <w:rFonts w:cs="Arial"/>
        </w:rPr>
      </w:pPr>
      <w:bookmarkStart w:id="32" w:name="_Toc63804134"/>
      <w:bookmarkStart w:id="33" w:name="_Toc63804135"/>
      <w:bookmarkStart w:id="34" w:name="_Toc63804136"/>
      <w:bookmarkEnd w:id="32"/>
      <w:bookmarkEnd w:id="33"/>
      <w:bookmarkEnd w:id="34"/>
    </w:p>
    <w:p w14:paraId="5DC671E9" w14:textId="77777777" w:rsidR="000264FB" w:rsidRDefault="000264FB" w:rsidP="00B70D42">
      <w:pPr>
        <w:pStyle w:val="Nadpis1"/>
        <w:numPr>
          <w:ilvl w:val="0"/>
          <w:numId w:val="0"/>
        </w:numPr>
        <w:jc w:val="both"/>
        <w:rPr>
          <w:rFonts w:cs="Arial"/>
        </w:rPr>
      </w:pPr>
    </w:p>
    <w:p w14:paraId="081A4231" w14:textId="77777777" w:rsidR="000264FB" w:rsidRDefault="000264FB" w:rsidP="00B70D42">
      <w:pPr>
        <w:pStyle w:val="Nadpis1"/>
        <w:numPr>
          <w:ilvl w:val="0"/>
          <w:numId w:val="0"/>
        </w:numPr>
        <w:jc w:val="both"/>
        <w:rPr>
          <w:rFonts w:cs="Arial"/>
        </w:rPr>
      </w:pPr>
    </w:p>
    <w:p w14:paraId="677630AE" w14:textId="77777777" w:rsidR="000264FB" w:rsidRDefault="000264FB" w:rsidP="00B70D42">
      <w:pPr>
        <w:pStyle w:val="Nadpis1"/>
        <w:numPr>
          <w:ilvl w:val="0"/>
          <w:numId w:val="0"/>
        </w:numPr>
        <w:jc w:val="both"/>
        <w:rPr>
          <w:rFonts w:cs="Arial"/>
        </w:rPr>
      </w:pPr>
    </w:p>
    <w:p w14:paraId="6E62A654" w14:textId="5993C758" w:rsidR="000264FB" w:rsidRDefault="000264FB" w:rsidP="00B70D42">
      <w:pPr>
        <w:pStyle w:val="Nadpis1"/>
        <w:numPr>
          <w:ilvl w:val="0"/>
          <w:numId w:val="0"/>
        </w:numPr>
        <w:jc w:val="both"/>
        <w:rPr>
          <w:rFonts w:cs="Arial"/>
        </w:rPr>
      </w:pPr>
    </w:p>
    <w:p w14:paraId="15536B4A" w14:textId="7061EEB9" w:rsidR="000264FB" w:rsidRDefault="000264FB" w:rsidP="000264FB"/>
    <w:p w14:paraId="781035B3" w14:textId="77777777" w:rsidR="007C035C" w:rsidRDefault="007C035C" w:rsidP="000264FB"/>
    <w:p w14:paraId="1964AFE4" w14:textId="77777777" w:rsidR="0059113D" w:rsidRPr="000264FB" w:rsidRDefault="0059113D" w:rsidP="000264FB"/>
    <w:p w14:paraId="2634036F" w14:textId="77777777" w:rsidR="0059113D" w:rsidRDefault="0059113D" w:rsidP="000264FB">
      <w:pPr>
        <w:pStyle w:val="Nadpis1"/>
        <w:numPr>
          <w:ilvl w:val="0"/>
          <w:numId w:val="0"/>
        </w:numPr>
        <w:jc w:val="center"/>
        <w:rPr>
          <w:rFonts w:cs="Arial"/>
        </w:rPr>
      </w:pPr>
    </w:p>
    <w:p w14:paraId="694D77C1" w14:textId="4AEDF746" w:rsidR="00B65C98" w:rsidRPr="0017795C" w:rsidRDefault="00B65C98" w:rsidP="000264FB">
      <w:pPr>
        <w:pStyle w:val="Nadpis1"/>
        <w:numPr>
          <w:ilvl w:val="0"/>
          <w:numId w:val="0"/>
        </w:numPr>
        <w:jc w:val="center"/>
        <w:rPr>
          <w:rFonts w:cs="Arial"/>
        </w:rPr>
      </w:pPr>
      <w:bookmarkStart w:id="35" w:name="_Toc175743053"/>
      <w:r w:rsidRPr="0017795C">
        <w:rPr>
          <w:rFonts w:cs="Arial"/>
        </w:rPr>
        <w:t xml:space="preserve">Příloha </w:t>
      </w:r>
      <w:r w:rsidR="000264FB">
        <w:rPr>
          <w:rFonts w:cs="Arial"/>
        </w:rPr>
        <w:t>C</w:t>
      </w:r>
      <w:r w:rsidR="00286F30">
        <w:rPr>
          <w:rFonts w:cs="Arial"/>
        </w:rPr>
        <w:t>:</w:t>
      </w:r>
      <w:r w:rsidRPr="0017795C">
        <w:rPr>
          <w:rFonts w:cs="Arial"/>
        </w:rPr>
        <w:t xml:space="preserve"> Podrobný popis opatření </w:t>
      </w:r>
      <w:r w:rsidR="00820454" w:rsidRPr="0017795C">
        <w:rPr>
          <w:rFonts w:cs="Arial"/>
        </w:rPr>
        <w:t xml:space="preserve">Souhrnného akčního plánu Strategie restrukturalizace Ústeckého, Moravskoslezského a Karlovarského kraje </w:t>
      </w:r>
      <w:r w:rsidR="00FC0E96">
        <w:rPr>
          <w:rFonts w:cs="Arial"/>
        </w:rPr>
        <w:t>202</w:t>
      </w:r>
      <w:r w:rsidR="000264FB">
        <w:rPr>
          <w:rFonts w:cs="Arial"/>
        </w:rPr>
        <w:t>5</w:t>
      </w:r>
      <w:r w:rsidR="00FC0E96">
        <w:rPr>
          <w:rFonts w:cs="Arial"/>
        </w:rPr>
        <w:t>-202</w:t>
      </w:r>
      <w:r w:rsidR="000264FB">
        <w:rPr>
          <w:rFonts w:cs="Arial"/>
        </w:rPr>
        <w:t>6</w:t>
      </w:r>
      <w:bookmarkEnd w:id="35"/>
    </w:p>
    <w:p w14:paraId="62100272" w14:textId="77777777" w:rsidR="00B65C98" w:rsidRPr="0017795C" w:rsidRDefault="00B65C98" w:rsidP="00B65C98">
      <w:pPr>
        <w:spacing w:before="240" w:after="0"/>
        <w:jc w:val="both"/>
        <w:rPr>
          <w:rFonts w:cs="Arial"/>
        </w:rPr>
      </w:pPr>
    </w:p>
    <w:p w14:paraId="024849EC" w14:textId="4E5929FF" w:rsidR="003E252C" w:rsidRDefault="00B65C98" w:rsidP="00BB5390">
      <w:pPr>
        <w:pStyle w:val="Nadpis1"/>
        <w:numPr>
          <w:ilvl w:val="0"/>
          <w:numId w:val="3"/>
        </w:numPr>
        <w:rPr>
          <w:rFonts w:cs="Arial"/>
        </w:rPr>
      </w:pPr>
      <w:bookmarkStart w:id="36" w:name="_Toc515874836"/>
      <w:bookmarkStart w:id="37" w:name="_Toc175743054"/>
      <w:r w:rsidRPr="0017795C">
        <w:rPr>
          <w:rFonts w:cs="Arial"/>
        </w:rPr>
        <w:t>Pilíř A – Podnikání a inovace</w:t>
      </w:r>
      <w:bookmarkEnd w:id="36"/>
      <w:bookmarkEnd w:id="37"/>
    </w:p>
    <w:p w14:paraId="4DAD0669" w14:textId="77777777" w:rsidR="007006B2" w:rsidRPr="007006B2" w:rsidRDefault="007006B2" w:rsidP="007006B2"/>
    <w:p w14:paraId="6B0F0154" w14:textId="77777777" w:rsidR="00EA0DC2" w:rsidRPr="00E45B66" w:rsidRDefault="24EB8357" w:rsidP="00EA0DC2">
      <w:pPr>
        <w:pStyle w:val="Nadpis2"/>
        <w:spacing w:line="276" w:lineRule="auto"/>
      </w:pPr>
      <w:bookmarkStart w:id="38" w:name="_Toc479589404"/>
      <w:bookmarkStart w:id="39" w:name="_Toc486595431"/>
      <w:bookmarkStart w:id="40" w:name="_Toc515874849"/>
      <w:bookmarkStart w:id="41" w:name="_Toc175743055"/>
      <w:r>
        <w:t>A. 1 Růst podniků a jejich pronikání na nové trhy, vyšší odolnost při změnách na trzích</w:t>
      </w:r>
      <w:bookmarkEnd w:id="38"/>
      <w:bookmarkEnd w:id="39"/>
      <w:bookmarkEnd w:id="40"/>
      <w:bookmarkEnd w:id="41"/>
    </w:p>
    <w:p w14:paraId="49377E4D" w14:textId="1DA9BB25" w:rsidR="003E252C" w:rsidRPr="007006B2" w:rsidRDefault="00EA0DC2" w:rsidP="00103589">
      <w:pPr>
        <w:pStyle w:val="Nadpis3"/>
        <w:rPr>
          <w:rFonts w:cs="Arial"/>
          <w:color w:val="FF0000"/>
        </w:rPr>
      </w:pPr>
      <w:bookmarkStart w:id="42" w:name="_Toc175743056"/>
      <w:bookmarkStart w:id="43" w:name="_Toc511026960"/>
      <w:bookmarkStart w:id="44" w:name="_Toc515874850"/>
      <w:r w:rsidRPr="007006B2">
        <w:rPr>
          <w:rFonts w:cs="Arial"/>
        </w:rPr>
        <w:t>V</w:t>
      </w:r>
      <w:r w:rsidR="00B514C9" w:rsidRPr="007006B2">
        <w:rPr>
          <w:rFonts w:cs="Arial"/>
        </w:rPr>
        <w:t>I</w:t>
      </w:r>
      <w:r w:rsidRPr="007006B2">
        <w:rPr>
          <w:rFonts w:cs="Arial"/>
        </w:rPr>
        <w:t>.A.1.1 Podpora rozvoje podnikatelských aktivit ve strukturálně postižených regionech prostřednictvím investic do nemovitého majetku</w:t>
      </w:r>
      <w:bookmarkEnd w:id="42"/>
      <w:r w:rsidRPr="007006B2">
        <w:rPr>
          <w:rFonts w:cs="Arial"/>
        </w:rPr>
        <w:t xml:space="preserve"> </w:t>
      </w:r>
      <w:bookmarkEnd w:id="43"/>
      <w:bookmarkEnd w:id="44"/>
    </w:p>
    <w:tbl>
      <w:tblPr>
        <w:tblW w:w="10084"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1"/>
        <w:gridCol w:w="3447"/>
        <w:gridCol w:w="3967"/>
        <w:gridCol w:w="19"/>
      </w:tblGrid>
      <w:tr w:rsidR="003E252C" w:rsidRPr="0017795C" w14:paraId="4FA7A459" w14:textId="77777777" w:rsidTr="14558089">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224CA1B" w14:textId="77777777" w:rsidR="003E252C" w:rsidRPr="0017795C" w:rsidRDefault="003E252C" w:rsidP="003E252C">
            <w:pPr>
              <w:spacing w:after="0"/>
              <w:rPr>
                <w:rFonts w:cs="Arial"/>
                <w:b/>
                <w:bCs/>
                <w:sz w:val="22"/>
              </w:rPr>
            </w:pPr>
            <w:r w:rsidRPr="0017795C">
              <w:rPr>
                <w:rFonts w:cs="Arial"/>
                <w:b/>
                <w:bCs/>
                <w:sz w:val="22"/>
              </w:rPr>
              <w:t>Úkol</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C4F7825" w14:textId="38AF7D89" w:rsidR="003E252C" w:rsidRPr="00DA3833" w:rsidRDefault="006C30E4" w:rsidP="009C0FA1">
            <w:pPr>
              <w:spacing w:after="0"/>
              <w:jc w:val="both"/>
              <w:rPr>
                <w:rFonts w:cs="Arial"/>
                <w:b/>
                <w:bCs/>
                <w:iCs/>
                <w:sz w:val="22"/>
              </w:rPr>
            </w:pPr>
            <w:r w:rsidRPr="00DA3833">
              <w:rPr>
                <w:rFonts w:cs="Arial"/>
                <w:b/>
                <w:bCs/>
                <w:iCs/>
                <w:sz w:val="22"/>
              </w:rPr>
              <w:t>Vláda ČR ukládá</w:t>
            </w:r>
            <w:r w:rsidR="007A6005" w:rsidRPr="00DA3833">
              <w:rPr>
                <w:rFonts w:cs="Arial"/>
                <w:b/>
                <w:bCs/>
                <w:iCs/>
                <w:sz w:val="22"/>
              </w:rPr>
              <w:t>:</w:t>
            </w:r>
          </w:p>
          <w:p w14:paraId="66E84191" w14:textId="2182E274" w:rsidR="007A6005" w:rsidRPr="00DA3833" w:rsidRDefault="007A6005" w:rsidP="009C0FA1">
            <w:pPr>
              <w:spacing w:after="0"/>
              <w:jc w:val="both"/>
              <w:rPr>
                <w:rFonts w:cs="Arial"/>
                <w:b/>
                <w:bCs/>
                <w:iCs/>
                <w:sz w:val="22"/>
              </w:rPr>
            </w:pPr>
            <w:r w:rsidRPr="00DA3833">
              <w:rPr>
                <w:rFonts w:cs="Arial"/>
                <w:b/>
                <w:bCs/>
                <w:iCs/>
                <w:sz w:val="22"/>
              </w:rPr>
              <w:t>Ministrovi průmyslu a obchodu</w:t>
            </w:r>
            <w:r w:rsidR="009C1B9E" w:rsidRPr="00DA3833">
              <w:rPr>
                <w:rFonts w:cs="Arial"/>
                <w:b/>
                <w:bCs/>
                <w:iCs/>
                <w:sz w:val="22"/>
              </w:rPr>
              <w:t xml:space="preserve"> </w:t>
            </w:r>
            <w:r w:rsidR="00B514C9" w:rsidRPr="00DA3833">
              <w:rPr>
                <w:rFonts w:cs="Arial"/>
                <w:b/>
                <w:bCs/>
                <w:iCs/>
                <w:sz w:val="22"/>
              </w:rPr>
              <w:t xml:space="preserve">a </w:t>
            </w:r>
            <w:r w:rsidR="00B514C9" w:rsidRPr="00DA3833">
              <w:rPr>
                <w:rFonts w:cs="Arial"/>
                <w:b/>
                <w:bCs/>
                <w:iCs/>
                <w:color w:val="FF0000"/>
                <w:sz w:val="22"/>
              </w:rPr>
              <w:t xml:space="preserve">ministrovi životního prostředí </w:t>
            </w:r>
            <w:r w:rsidR="009C1B9E" w:rsidRPr="00DA3833">
              <w:rPr>
                <w:rFonts w:cs="Arial"/>
                <w:b/>
                <w:bCs/>
                <w:iCs/>
                <w:sz w:val="22"/>
              </w:rPr>
              <w:t>ve spolupráci s Národní rozvojovou bankou</w:t>
            </w:r>
          </w:p>
          <w:p w14:paraId="686A4360" w14:textId="0282C0F8" w:rsidR="00E97239" w:rsidRPr="00523098" w:rsidRDefault="009C1B9E" w:rsidP="00523098">
            <w:pPr>
              <w:spacing w:after="0" w:line="276" w:lineRule="auto"/>
              <w:jc w:val="both"/>
              <w:rPr>
                <w:rFonts w:cs="Arial"/>
                <w:i/>
                <w:sz w:val="22"/>
              </w:rPr>
            </w:pPr>
            <w:r w:rsidRPr="00DA3833">
              <w:rPr>
                <w:rFonts w:cs="Arial"/>
                <w:iCs/>
                <w:sz w:val="22"/>
              </w:rPr>
              <w:t>zvážit specifické zvýhodnění v rámci připravovaného FN zaměřeného na rekonstrukci</w:t>
            </w:r>
            <w:r w:rsidR="00813431" w:rsidRPr="00DA3833">
              <w:rPr>
                <w:rFonts w:cs="Arial"/>
                <w:iCs/>
                <w:sz w:val="22"/>
              </w:rPr>
              <w:t xml:space="preserve"> podnikatelských nemovitostí.</w:t>
            </w:r>
          </w:p>
        </w:tc>
      </w:tr>
      <w:tr w:rsidR="003E252C" w:rsidRPr="0017795C" w14:paraId="7FDCA343" w14:textId="77777777" w:rsidTr="14558089">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D58C871" w14:textId="77777777" w:rsidR="003E252C" w:rsidRPr="0017795C" w:rsidRDefault="003E252C" w:rsidP="003E252C">
            <w:pPr>
              <w:spacing w:after="0"/>
              <w:rPr>
                <w:rFonts w:cs="Arial"/>
                <w:b/>
                <w:bCs/>
                <w:sz w:val="22"/>
              </w:rPr>
            </w:pPr>
            <w:r w:rsidRPr="0017795C">
              <w:rPr>
                <w:rFonts w:cs="Arial"/>
                <w:b/>
                <w:bCs/>
                <w:sz w:val="22"/>
              </w:rPr>
              <w:t>Pilíř</w:t>
            </w:r>
          </w:p>
        </w:tc>
        <w:tc>
          <w:tcPr>
            <w:tcW w:w="7433"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20E764A" w14:textId="5881D4F4" w:rsidR="003E252C" w:rsidRPr="0017795C" w:rsidRDefault="003E252C" w:rsidP="00BE5480">
            <w:pPr>
              <w:spacing w:after="0"/>
              <w:rPr>
                <w:rFonts w:cs="Arial"/>
                <w:sz w:val="22"/>
              </w:rPr>
            </w:pPr>
            <w:r w:rsidRPr="0017795C">
              <w:rPr>
                <w:rFonts w:cs="Arial"/>
                <w:bCs/>
                <w:sz w:val="22"/>
              </w:rPr>
              <w:t>A</w:t>
            </w:r>
            <w:r w:rsidR="00BE5480" w:rsidRPr="0017795C">
              <w:rPr>
                <w:rFonts w:cs="Arial"/>
                <w:bCs/>
                <w:sz w:val="22"/>
              </w:rPr>
              <w:t>.</w:t>
            </w:r>
            <w:r w:rsidRPr="0017795C">
              <w:rPr>
                <w:rFonts w:cs="Arial"/>
                <w:bCs/>
                <w:sz w:val="22"/>
              </w:rPr>
              <w:t xml:space="preserve"> Podnikání a inovace </w:t>
            </w:r>
          </w:p>
        </w:tc>
      </w:tr>
      <w:tr w:rsidR="003E252C" w:rsidRPr="0017795C" w14:paraId="70086FC6" w14:textId="77777777" w:rsidTr="14558089">
        <w:trPr>
          <w:trHeight w:val="328"/>
        </w:trPr>
        <w:tc>
          <w:tcPr>
            <w:tcW w:w="2651" w:type="dxa"/>
            <w:tcBorders>
              <w:left w:val="single" w:sz="4" w:space="0" w:color="000001"/>
              <w:bottom w:val="single" w:sz="4" w:space="0" w:color="000001"/>
              <w:right w:val="single" w:sz="4" w:space="0" w:color="000001"/>
            </w:tcBorders>
            <w:shd w:val="clear" w:color="auto" w:fill="auto"/>
            <w:tcMar>
              <w:left w:w="108" w:type="dxa"/>
            </w:tcMar>
          </w:tcPr>
          <w:p w14:paraId="4E702BE4" w14:textId="77777777" w:rsidR="003E252C" w:rsidRPr="0017795C" w:rsidRDefault="003E252C" w:rsidP="003E252C">
            <w:pPr>
              <w:spacing w:after="0"/>
              <w:rPr>
                <w:rFonts w:cs="Arial"/>
                <w:sz w:val="22"/>
              </w:rPr>
            </w:pPr>
            <w:r w:rsidRPr="0017795C">
              <w:rPr>
                <w:rFonts w:cs="Arial"/>
                <w:b/>
                <w:bCs/>
                <w:sz w:val="22"/>
              </w:rPr>
              <w:t>Strategický cíl/cíle</w:t>
            </w:r>
          </w:p>
        </w:tc>
        <w:tc>
          <w:tcPr>
            <w:tcW w:w="7433" w:type="dxa"/>
            <w:gridSpan w:val="3"/>
            <w:tcBorders>
              <w:left w:val="single" w:sz="4" w:space="0" w:color="000001"/>
              <w:bottom w:val="single" w:sz="4" w:space="0" w:color="000001"/>
              <w:right w:val="single" w:sz="4" w:space="0" w:color="000001"/>
            </w:tcBorders>
            <w:shd w:val="clear" w:color="auto" w:fill="auto"/>
            <w:tcMar>
              <w:left w:w="108" w:type="dxa"/>
            </w:tcMar>
          </w:tcPr>
          <w:p w14:paraId="40509F9F" w14:textId="26876909" w:rsidR="003E252C" w:rsidRPr="0017795C" w:rsidRDefault="003E252C" w:rsidP="003E252C">
            <w:pPr>
              <w:spacing w:after="0"/>
              <w:rPr>
                <w:rFonts w:cs="Arial"/>
                <w:bCs/>
                <w:sz w:val="22"/>
              </w:rPr>
            </w:pPr>
            <w:r w:rsidRPr="0017795C">
              <w:rPr>
                <w:rFonts w:cs="Arial"/>
                <w:bCs/>
                <w:sz w:val="22"/>
              </w:rPr>
              <w:t>A.</w:t>
            </w:r>
            <w:r w:rsidR="001E3FD3">
              <w:rPr>
                <w:rFonts w:cs="Arial"/>
                <w:bCs/>
                <w:sz w:val="22"/>
              </w:rPr>
              <w:t>1</w:t>
            </w:r>
            <w:r w:rsidRPr="0017795C">
              <w:rPr>
                <w:rFonts w:cs="Arial"/>
                <w:bCs/>
                <w:sz w:val="22"/>
              </w:rPr>
              <w:t xml:space="preserve"> </w:t>
            </w:r>
            <w:r w:rsidR="001E3FD3">
              <w:rPr>
                <w:rFonts w:cs="Arial"/>
                <w:bCs/>
                <w:sz w:val="22"/>
              </w:rPr>
              <w:t>Růst podniků a jejich pronikání na nové trhy, vyšší odolnost při změnách na trzích</w:t>
            </w:r>
          </w:p>
        </w:tc>
      </w:tr>
      <w:tr w:rsidR="003E252C" w:rsidRPr="0017795C" w14:paraId="02EC907D" w14:textId="77777777" w:rsidTr="14558089">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B4F70B" w14:textId="65ABBE17" w:rsidR="003E252C" w:rsidRPr="0017795C" w:rsidRDefault="003E252C" w:rsidP="003E252C">
            <w:pPr>
              <w:spacing w:after="0"/>
              <w:rPr>
                <w:rFonts w:cs="Arial"/>
                <w:b/>
                <w:bCs/>
                <w:sz w:val="22"/>
              </w:rPr>
            </w:pPr>
            <w:r w:rsidRPr="0017795C">
              <w:rPr>
                <w:rFonts w:cs="Arial"/>
                <w:b/>
                <w:bCs/>
                <w:sz w:val="22"/>
              </w:rPr>
              <w:t xml:space="preserve">Oblast změn </w:t>
            </w:r>
            <w:r w:rsidR="00CA5B21">
              <w:rPr>
                <w:rFonts w:cs="Arial"/>
                <w:b/>
                <w:bCs/>
                <w:sz w:val="22"/>
              </w:rPr>
              <w:t>–</w:t>
            </w:r>
            <w:r w:rsidRPr="0017795C">
              <w:rPr>
                <w:rFonts w:cs="Arial"/>
                <w:b/>
                <w:bCs/>
                <w:sz w:val="22"/>
              </w:rPr>
              <w:t xml:space="preserve"> indikátory</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761B11" w14:textId="771F0535" w:rsidR="003E252C" w:rsidRPr="0017795C" w:rsidRDefault="003E252C" w:rsidP="003E252C">
            <w:pPr>
              <w:spacing w:after="0"/>
              <w:jc w:val="both"/>
              <w:rPr>
                <w:rFonts w:cs="Arial"/>
                <w:sz w:val="22"/>
              </w:rPr>
            </w:pPr>
            <w:r w:rsidRPr="0017795C">
              <w:rPr>
                <w:rFonts w:cs="Arial"/>
                <w:bCs/>
                <w:sz w:val="22"/>
              </w:rPr>
              <w:t>A.</w:t>
            </w:r>
            <w:r w:rsidR="001E3FD3">
              <w:rPr>
                <w:rFonts w:cs="Arial"/>
                <w:bCs/>
                <w:sz w:val="22"/>
              </w:rPr>
              <w:t>1</w:t>
            </w:r>
            <w:r w:rsidRPr="0017795C">
              <w:rPr>
                <w:rFonts w:cs="Arial"/>
                <w:bCs/>
                <w:sz w:val="22"/>
              </w:rPr>
              <w:t xml:space="preserve"> </w:t>
            </w:r>
            <w:r w:rsidR="00D15E9B">
              <w:rPr>
                <w:rFonts w:cs="Arial"/>
                <w:bCs/>
                <w:sz w:val="22"/>
              </w:rPr>
              <w:t xml:space="preserve">– </w:t>
            </w:r>
            <w:r w:rsidRPr="0017795C">
              <w:rPr>
                <w:rFonts w:cs="Arial"/>
                <w:bCs/>
                <w:sz w:val="22"/>
              </w:rPr>
              <w:t>Změny:</w:t>
            </w:r>
          </w:p>
          <w:p w14:paraId="2A1A195A" w14:textId="585B85E7" w:rsidR="001E3FD3" w:rsidRPr="005620A9" w:rsidRDefault="005620A9" w:rsidP="005620A9">
            <w:pPr>
              <w:spacing w:after="0" w:line="276" w:lineRule="auto"/>
              <w:ind w:left="708"/>
              <w:jc w:val="both"/>
              <w:rPr>
                <w:rFonts w:cs="Arial"/>
                <w:bCs/>
                <w:sz w:val="22"/>
              </w:rPr>
            </w:pPr>
            <w:r>
              <w:rPr>
                <w:rFonts w:cs="Arial"/>
                <w:bCs/>
                <w:sz w:val="22"/>
              </w:rPr>
              <w:t xml:space="preserve">- </w:t>
            </w:r>
            <w:proofErr w:type="gramStart"/>
            <w:r w:rsidR="001E3FD3" w:rsidRPr="00351F4E">
              <w:rPr>
                <w:rFonts w:cs="Arial"/>
                <w:bCs/>
                <w:sz w:val="22"/>
              </w:rPr>
              <w:t>zvýší</w:t>
            </w:r>
            <w:proofErr w:type="gramEnd"/>
            <w:r w:rsidR="001E3FD3" w:rsidRPr="00351F4E">
              <w:rPr>
                <w:rFonts w:cs="Arial"/>
                <w:bCs/>
                <w:sz w:val="22"/>
              </w:rPr>
              <w:t xml:space="preserve"> s</w:t>
            </w:r>
            <w:r w:rsidR="001E3FD3" w:rsidRPr="005620A9">
              <w:rPr>
                <w:rFonts w:cs="Arial"/>
                <w:bCs/>
                <w:sz w:val="22"/>
              </w:rPr>
              <w:t>e počet firem, které modernizují nemovitosti, v nichž podnikají, zlepší jejich stavební stav, vzhled a infrastrukturu a přizpůsobí je moderním požadavkům na technologie a na podnikání vůbec. Tím získají výhodu na trhu.</w:t>
            </w:r>
          </w:p>
          <w:p w14:paraId="35BCE2CB" w14:textId="77777777" w:rsidR="003E252C" w:rsidRPr="001E3FD3" w:rsidRDefault="003E252C" w:rsidP="001E3FD3">
            <w:pPr>
              <w:spacing w:after="0"/>
              <w:jc w:val="both"/>
              <w:rPr>
                <w:rFonts w:cs="Arial"/>
                <w:sz w:val="22"/>
              </w:rPr>
            </w:pPr>
          </w:p>
          <w:p w14:paraId="6E1B4048" w14:textId="418EEF00" w:rsidR="00276812" w:rsidRDefault="003E252C" w:rsidP="00276812">
            <w:pPr>
              <w:spacing w:after="0"/>
              <w:jc w:val="both"/>
              <w:rPr>
                <w:rFonts w:cs="Arial"/>
                <w:bCs/>
                <w:sz w:val="22"/>
              </w:rPr>
            </w:pPr>
            <w:r w:rsidRPr="0017795C">
              <w:rPr>
                <w:rFonts w:cs="Arial"/>
                <w:bCs/>
                <w:sz w:val="22"/>
              </w:rPr>
              <w:t>A.</w:t>
            </w:r>
            <w:r w:rsidR="001E3FD3">
              <w:rPr>
                <w:rFonts w:cs="Arial"/>
                <w:bCs/>
                <w:sz w:val="22"/>
              </w:rPr>
              <w:t>1</w:t>
            </w:r>
            <w:r w:rsidRPr="0017795C">
              <w:rPr>
                <w:rFonts w:cs="Arial"/>
                <w:bCs/>
                <w:sz w:val="22"/>
              </w:rPr>
              <w:t xml:space="preserve"> </w:t>
            </w:r>
            <w:r w:rsidR="00F13770">
              <w:rPr>
                <w:rFonts w:cs="Arial"/>
                <w:bCs/>
                <w:sz w:val="22"/>
              </w:rPr>
              <w:t>–</w:t>
            </w:r>
            <w:r w:rsidRPr="0017795C">
              <w:rPr>
                <w:rFonts w:cs="Arial"/>
                <w:bCs/>
                <w:sz w:val="22"/>
              </w:rPr>
              <w:t xml:space="preserve"> Indikátory:</w:t>
            </w:r>
          </w:p>
          <w:p w14:paraId="291AC461" w14:textId="3199771F" w:rsidR="003E252C" w:rsidRPr="008C695C" w:rsidRDefault="005620A9" w:rsidP="008C695C">
            <w:pPr>
              <w:spacing w:after="0"/>
              <w:ind w:left="708"/>
              <w:jc w:val="both"/>
              <w:rPr>
                <w:rFonts w:cs="Arial"/>
                <w:bCs/>
                <w:sz w:val="22"/>
              </w:rPr>
            </w:pPr>
            <w:r>
              <w:rPr>
                <w:rFonts w:cs="Arial"/>
                <w:bCs/>
                <w:sz w:val="22"/>
              </w:rPr>
              <w:t xml:space="preserve">- </w:t>
            </w:r>
            <w:r w:rsidRPr="005620A9">
              <w:rPr>
                <w:rFonts w:cs="Arial"/>
                <w:bCs/>
                <w:sz w:val="22"/>
              </w:rPr>
              <w:t>počet podpořených MSP</w:t>
            </w:r>
            <w:r w:rsidR="00DA0B9C">
              <w:rPr>
                <w:rFonts w:cs="Arial"/>
                <w:bCs/>
                <w:sz w:val="22"/>
              </w:rPr>
              <w:t>, počet nově vytvořených m</w:t>
            </w:r>
            <w:r w:rsidR="00DA0B9C" w:rsidRPr="007B68ED">
              <w:rPr>
                <w:rFonts w:cs="Arial"/>
                <w:sz w:val="22"/>
                <w:vertAlign w:val="superscript"/>
              </w:rPr>
              <w:t>2</w:t>
            </w:r>
            <w:r w:rsidR="00DA0B9C">
              <w:rPr>
                <w:rFonts w:cs="Arial"/>
                <w:bCs/>
                <w:sz w:val="22"/>
              </w:rPr>
              <w:t xml:space="preserve"> podnikatelských ploch</w:t>
            </w:r>
            <w:r w:rsidRPr="005620A9">
              <w:rPr>
                <w:rFonts w:cs="Arial"/>
                <w:bCs/>
                <w:sz w:val="22"/>
              </w:rPr>
              <w:t>.</w:t>
            </w:r>
          </w:p>
        </w:tc>
      </w:tr>
      <w:tr w:rsidR="003E252C" w:rsidRPr="0017795C" w14:paraId="0E145427" w14:textId="77777777" w:rsidTr="14558089">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6FB751" w14:textId="77777777" w:rsidR="003E252C" w:rsidRPr="0017795C" w:rsidRDefault="003E252C" w:rsidP="003E252C">
            <w:pPr>
              <w:spacing w:after="0"/>
              <w:rPr>
                <w:rFonts w:cs="Arial"/>
                <w:b/>
                <w:bCs/>
                <w:i/>
                <w:sz w:val="22"/>
              </w:rPr>
            </w:pPr>
            <w:r w:rsidRPr="0017795C">
              <w:rPr>
                <w:rFonts w:cs="Arial"/>
                <w:b/>
                <w:bCs/>
                <w:sz w:val="22"/>
              </w:rPr>
              <w:t xml:space="preserve">Název opatření/programu </w:t>
            </w:r>
          </w:p>
        </w:tc>
        <w:tc>
          <w:tcPr>
            <w:tcW w:w="7433"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0D88935" w14:textId="70A16DB9" w:rsidR="003E252C" w:rsidRPr="0017795C" w:rsidRDefault="00EA0DC2" w:rsidP="00813431">
            <w:pPr>
              <w:spacing w:after="0"/>
              <w:jc w:val="both"/>
              <w:rPr>
                <w:rFonts w:cs="Arial"/>
                <w:b/>
                <w:sz w:val="22"/>
              </w:rPr>
            </w:pPr>
            <w:r>
              <w:rPr>
                <w:rFonts w:cs="Arial"/>
                <w:b/>
                <w:sz w:val="22"/>
              </w:rPr>
              <w:t xml:space="preserve">Podpora rozvoje podnikatelských aktivit ve strukturálně postižených regionech prostřednictvím investic do nemovitého majetku </w:t>
            </w:r>
          </w:p>
        </w:tc>
      </w:tr>
      <w:tr w:rsidR="0031129C" w:rsidRPr="0017795C" w14:paraId="45317F41" w14:textId="77777777" w:rsidTr="00AD6ED6">
        <w:trPr>
          <w:gridAfter w:val="1"/>
          <w:wAfter w:w="19" w:type="dxa"/>
          <w:trHeight w:val="1096"/>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ED21DA" w14:textId="2B6BDC0C" w:rsidR="0031129C" w:rsidRPr="0017795C" w:rsidRDefault="0031129C" w:rsidP="0031129C">
            <w:pPr>
              <w:spacing w:after="0"/>
              <w:rPr>
                <w:rFonts w:cs="Arial"/>
                <w:b/>
                <w:bCs/>
                <w:sz w:val="22"/>
              </w:rPr>
            </w:pPr>
            <w:r w:rsidRPr="0017795C">
              <w:rPr>
                <w:rFonts w:cs="Arial"/>
                <w:b/>
                <w:bCs/>
                <w:sz w:val="22"/>
              </w:rPr>
              <w:t>Zdůvodnění a popis programu</w:t>
            </w:r>
          </w:p>
          <w:p w14:paraId="70388AB0" w14:textId="77777777" w:rsidR="0031129C" w:rsidRPr="0017795C" w:rsidRDefault="0031129C" w:rsidP="0031129C">
            <w:pPr>
              <w:spacing w:after="0"/>
              <w:rPr>
                <w:rFonts w:cs="Arial"/>
                <w:b/>
                <w:bCs/>
                <w:sz w:val="22"/>
                <w:shd w:val="pct15" w:color="auto" w:fill="FFFFFF"/>
              </w:rPr>
            </w:pP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6AEDCB" w14:textId="3BB297C5" w:rsidR="0031129C" w:rsidRPr="00DA0B9C" w:rsidRDefault="0031129C" w:rsidP="00DA0B9C">
            <w:pPr>
              <w:spacing w:after="0" w:line="276" w:lineRule="auto"/>
              <w:jc w:val="both"/>
              <w:rPr>
                <w:rFonts w:eastAsia="Times New Roman" w:cs="Arial"/>
                <w:bCs/>
                <w:iCs/>
                <w:color w:val="000000"/>
                <w:sz w:val="22"/>
                <w:lang w:eastAsia="cs-CZ"/>
              </w:rPr>
            </w:pPr>
            <w:r w:rsidRPr="14558089">
              <w:rPr>
                <w:rFonts w:cs="Arial"/>
                <w:sz w:val="22"/>
              </w:rPr>
              <w:t xml:space="preserve">Opatření na podporu rozvoje podnikatelských aktivit ve strukturálně postižených krajích zaměřené na investice do nemovitého majetku představuje požadavek </w:t>
            </w:r>
            <w:r w:rsidR="00813431" w:rsidRPr="14558089">
              <w:rPr>
                <w:rFonts w:cs="Arial"/>
                <w:sz w:val="22"/>
              </w:rPr>
              <w:t>zvýhodnění podmínek pro realizaci projektů v rámci strukturálně postižených regionů (dále jen „SPR“)</w:t>
            </w:r>
            <w:r w:rsidRPr="14558089">
              <w:rPr>
                <w:rFonts w:cs="Arial"/>
                <w:sz w:val="22"/>
              </w:rPr>
              <w:t xml:space="preserve">. </w:t>
            </w:r>
            <w:r w:rsidR="00EB172E" w:rsidRPr="14558089">
              <w:rPr>
                <w:sz w:val="22"/>
              </w:rPr>
              <w:t xml:space="preserve">Právě podpora nemovitostí pro podnikání </w:t>
            </w:r>
            <w:proofErr w:type="gramStart"/>
            <w:r w:rsidR="00EB172E" w:rsidRPr="14558089">
              <w:rPr>
                <w:sz w:val="22"/>
              </w:rPr>
              <w:t>vytváří</w:t>
            </w:r>
            <w:proofErr w:type="gramEnd"/>
            <w:r w:rsidR="00EB172E" w:rsidRPr="14558089">
              <w:rPr>
                <w:sz w:val="22"/>
              </w:rPr>
              <w:t xml:space="preserve"> synergie s opatřeními pro rozvoj podniků, neboť MSP mohou využít nově vybudované či zrekonstruované objekty a infrastrukturu.</w:t>
            </w:r>
            <w:r w:rsidR="00DA0B9C">
              <w:rPr>
                <w:sz w:val="22"/>
              </w:rPr>
              <w:t xml:space="preserve"> </w:t>
            </w:r>
            <w:r w:rsidR="00DA0B9C" w:rsidRPr="00650141">
              <w:rPr>
                <w:sz w:val="22"/>
              </w:rPr>
              <w:t xml:space="preserve">Realizace těchto aktivit rovněž přináší významný multiplikační efekt. Usnadnění přístupu MSP k externímu financování jejich dalšího rozvoje, inovačních řešení, růstu a investic mj. do podnikatelské infrastruktury (podpora podniků při revitalizaci brownfieldů či při jejich komplexní přeměně na podnikatelské funkční nemovitosti vhodné pro </w:t>
            </w:r>
            <w:r w:rsidR="00DA0B9C" w:rsidRPr="00650141">
              <w:rPr>
                <w:sz w:val="22"/>
              </w:rPr>
              <w:lastRenderedPageBreak/>
              <w:t>využití a podnikání MSP), včetně podpory vzniku MSP a přístupu k úvěrovému financování i alternativním kapitálovým a kvazi</w:t>
            </w:r>
            <w:r w:rsidR="00F46506">
              <w:rPr>
                <w:sz w:val="22"/>
              </w:rPr>
              <w:t xml:space="preserve"> </w:t>
            </w:r>
            <w:r w:rsidR="00DA0B9C" w:rsidRPr="00650141">
              <w:rPr>
                <w:sz w:val="22"/>
              </w:rPr>
              <w:t>kapitálovým instrumentům.</w:t>
            </w:r>
          </w:p>
        </w:tc>
      </w:tr>
      <w:tr w:rsidR="0031129C" w:rsidRPr="0017795C" w14:paraId="4BEA46D4" w14:textId="77777777" w:rsidTr="14558089">
        <w:trPr>
          <w:gridAfter w:val="1"/>
          <w:wAfter w:w="19" w:type="dxa"/>
          <w:trHeight w:val="454"/>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BB9DB" w14:textId="77777777" w:rsidR="0031129C" w:rsidRPr="0017795C" w:rsidRDefault="0031129C" w:rsidP="0031129C">
            <w:pPr>
              <w:spacing w:after="0"/>
              <w:rPr>
                <w:rFonts w:cs="Arial"/>
                <w:b/>
                <w:bCs/>
                <w:sz w:val="22"/>
              </w:rPr>
            </w:pPr>
            <w:r w:rsidRPr="0017795C">
              <w:rPr>
                <w:rFonts w:cs="Arial"/>
                <w:b/>
                <w:bCs/>
                <w:sz w:val="22"/>
              </w:rPr>
              <w:lastRenderedPageBreak/>
              <w:t>Cíl programu/opatření</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45C6D8" w14:textId="15D37252" w:rsidR="0031129C" w:rsidRPr="00A31087" w:rsidRDefault="00EB172E" w:rsidP="00F62F3E">
            <w:pPr>
              <w:spacing w:after="0"/>
              <w:jc w:val="both"/>
              <w:rPr>
                <w:rFonts w:cs="Arial"/>
                <w:bCs/>
                <w:sz w:val="22"/>
              </w:rPr>
            </w:pPr>
            <w:r>
              <w:rPr>
                <w:rFonts w:cs="Arial"/>
                <w:sz w:val="22"/>
              </w:rPr>
              <w:t xml:space="preserve">Cílem opatření je </w:t>
            </w:r>
            <w:r w:rsidR="00A31087" w:rsidRPr="00A31087">
              <w:rPr>
                <w:rFonts w:cs="Arial"/>
                <w:sz w:val="22"/>
              </w:rPr>
              <w:t>usnadn</w:t>
            </w:r>
            <w:r>
              <w:rPr>
                <w:rFonts w:cs="Arial"/>
                <w:sz w:val="22"/>
              </w:rPr>
              <w:t>ění</w:t>
            </w:r>
            <w:r w:rsidR="00A31087" w:rsidRPr="00A31087">
              <w:rPr>
                <w:rFonts w:cs="Arial"/>
                <w:sz w:val="22"/>
              </w:rPr>
              <w:t xml:space="preserve"> malým a středním podnikatelům </w:t>
            </w:r>
            <w:r w:rsidR="00511485">
              <w:rPr>
                <w:rFonts w:cs="Arial"/>
                <w:sz w:val="22"/>
              </w:rPr>
              <w:t>lokalizovaných ve</w:t>
            </w:r>
            <w:r w:rsidR="00A31087" w:rsidRPr="00A31087">
              <w:rPr>
                <w:rFonts w:cs="Arial"/>
                <w:sz w:val="22"/>
              </w:rPr>
              <w:t xml:space="preserve"> strukturálně postižených kraj</w:t>
            </w:r>
            <w:r w:rsidR="00511485">
              <w:rPr>
                <w:rFonts w:cs="Arial"/>
                <w:sz w:val="22"/>
              </w:rPr>
              <w:t>ích</w:t>
            </w:r>
            <w:r w:rsidR="00A31087" w:rsidRPr="00A31087">
              <w:rPr>
                <w:rFonts w:cs="Arial"/>
                <w:sz w:val="22"/>
              </w:rPr>
              <w:t xml:space="preserve"> modernizaci zastaralých</w:t>
            </w:r>
            <w:r w:rsidR="00511485">
              <w:rPr>
                <w:rFonts w:cs="Arial"/>
                <w:sz w:val="22"/>
              </w:rPr>
              <w:t xml:space="preserve"> </w:t>
            </w:r>
            <w:r w:rsidR="00A31087" w:rsidRPr="00A31087">
              <w:rPr>
                <w:rFonts w:cs="Arial"/>
                <w:sz w:val="22"/>
              </w:rPr>
              <w:t>a technicky nevyhovujících budov pro provádění podporovaných ekonomických činností, nebo jejich nahrazení novými budovami pro podnikání</w:t>
            </w:r>
            <w:r w:rsidR="004E4F57">
              <w:rPr>
                <w:rFonts w:cs="Arial"/>
                <w:sz w:val="22"/>
              </w:rPr>
              <w:t>. Dále</w:t>
            </w:r>
            <w:r w:rsidR="00466B6F">
              <w:rPr>
                <w:rFonts w:cs="Arial"/>
                <w:sz w:val="22"/>
              </w:rPr>
              <w:t xml:space="preserve"> zlepšit</w:t>
            </w:r>
            <w:r>
              <w:rPr>
                <w:rFonts w:cs="Arial"/>
                <w:sz w:val="22"/>
              </w:rPr>
              <w:t xml:space="preserve"> přístup k externímu financování těchto aktivit a zároveň přispět ke snižování energetické náročnosti prováděných ekonomických činností. Specifické zvýhodnění</w:t>
            </w:r>
            <w:r w:rsidDel="00466B6F">
              <w:rPr>
                <w:rFonts w:cs="Arial"/>
                <w:sz w:val="22"/>
              </w:rPr>
              <w:t xml:space="preserve"> </w:t>
            </w:r>
            <w:r>
              <w:rPr>
                <w:rFonts w:cs="Arial"/>
                <w:sz w:val="22"/>
              </w:rPr>
              <w:t>ve vybraných nástrojích přispěje ke zvyš</w:t>
            </w:r>
            <w:r w:rsidR="00F62F3E">
              <w:rPr>
                <w:rFonts w:cs="Arial"/>
                <w:sz w:val="22"/>
              </w:rPr>
              <w:t>ování konkurenceschopnosti SPR.</w:t>
            </w:r>
          </w:p>
        </w:tc>
      </w:tr>
      <w:tr w:rsidR="00A31087" w:rsidRPr="0017795C" w14:paraId="0C71150A" w14:textId="77777777" w:rsidTr="14558089">
        <w:trPr>
          <w:gridAfter w:val="1"/>
          <w:wAfter w:w="19" w:type="dxa"/>
          <w:trHeight w:val="520"/>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ABFE51" w14:textId="77777777" w:rsidR="00A31087" w:rsidRPr="0017795C" w:rsidRDefault="00A31087" w:rsidP="00A31087">
            <w:pPr>
              <w:spacing w:after="0"/>
              <w:rPr>
                <w:rFonts w:cs="Arial"/>
                <w:b/>
                <w:bCs/>
                <w:sz w:val="22"/>
              </w:rPr>
            </w:pPr>
            <w:r w:rsidRPr="0017795C">
              <w:rPr>
                <w:rFonts w:cs="Arial"/>
                <w:b/>
                <w:bCs/>
                <w:sz w:val="22"/>
              </w:rPr>
              <w:t>Provázanost, propojení s dalšími opatřeními</w:t>
            </w:r>
          </w:p>
        </w:tc>
        <w:tc>
          <w:tcPr>
            <w:tcW w:w="7414"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2485851" w14:textId="1029371B" w:rsidR="00A31087" w:rsidRPr="00523098" w:rsidRDefault="00A31087" w:rsidP="00A31087">
            <w:pPr>
              <w:spacing w:after="0"/>
              <w:jc w:val="both"/>
              <w:rPr>
                <w:rFonts w:cs="Arial"/>
                <w:sz w:val="22"/>
              </w:rPr>
            </w:pPr>
            <w:r w:rsidRPr="00523098">
              <w:rPr>
                <w:rFonts w:eastAsia="Times New Roman" w:cs="Arial"/>
                <w:iCs/>
                <w:sz w:val="22"/>
                <w:lang w:eastAsia="cs-CZ"/>
              </w:rPr>
              <w:t xml:space="preserve"> </w:t>
            </w:r>
          </w:p>
        </w:tc>
      </w:tr>
      <w:tr w:rsidR="00A31087" w:rsidRPr="0017795C" w14:paraId="601F9BAA" w14:textId="77777777" w:rsidTr="14558089">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40CC8A" w14:textId="77777777" w:rsidR="00A31087" w:rsidRPr="0017795C" w:rsidRDefault="00A31087" w:rsidP="00A31087">
            <w:pPr>
              <w:spacing w:after="0"/>
              <w:rPr>
                <w:rFonts w:cs="Arial"/>
                <w:b/>
                <w:bCs/>
                <w:sz w:val="22"/>
              </w:rPr>
            </w:pPr>
            <w:r w:rsidRPr="0017795C">
              <w:rPr>
                <w:rFonts w:cs="Arial"/>
                <w:b/>
                <w:bCs/>
                <w:sz w:val="22"/>
              </w:rPr>
              <w:t>Předpoklad doby realizace opatření*</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F3B4E7" w14:textId="49538498" w:rsidR="00A31087" w:rsidRPr="00523098" w:rsidRDefault="00A31087" w:rsidP="00A31087">
            <w:pPr>
              <w:spacing w:after="0"/>
              <w:rPr>
                <w:rFonts w:cs="Arial"/>
                <w:b/>
                <w:bCs/>
                <w:sz w:val="22"/>
              </w:rPr>
            </w:pPr>
            <w:r w:rsidRPr="00523098">
              <w:rPr>
                <w:rFonts w:cs="Arial"/>
                <w:b/>
                <w:bCs/>
                <w:sz w:val="22"/>
              </w:rPr>
              <w:t xml:space="preserve">Od </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6FFBE7" w14:textId="77777777" w:rsidR="00A31087" w:rsidRPr="00523098" w:rsidRDefault="00A31087" w:rsidP="00A31087">
            <w:pPr>
              <w:spacing w:after="0"/>
              <w:rPr>
                <w:rFonts w:cs="Arial"/>
                <w:b/>
                <w:bCs/>
                <w:sz w:val="22"/>
              </w:rPr>
            </w:pPr>
            <w:r w:rsidRPr="00523098">
              <w:rPr>
                <w:rFonts w:cs="Arial"/>
                <w:b/>
                <w:bCs/>
                <w:sz w:val="22"/>
              </w:rPr>
              <w:t>Do</w:t>
            </w:r>
          </w:p>
        </w:tc>
      </w:tr>
      <w:tr w:rsidR="00A31087" w:rsidRPr="0017795C" w14:paraId="6A86FE78" w14:textId="77777777" w:rsidTr="00BE2297">
        <w:trPr>
          <w:gridAfter w:val="1"/>
          <w:wAfter w:w="19" w:type="dxa"/>
          <w:trHeight w:val="306"/>
        </w:trPr>
        <w:tc>
          <w:tcPr>
            <w:tcW w:w="2651" w:type="dxa"/>
            <w:vMerge/>
            <w:tcBorders>
              <w:bottom w:val="single" w:sz="18" w:space="0" w:color="000001"/>
            </w:tcBorders>
            <w:tcMar>
              <w:left w:w="108" w:type="dxa"/>
            </w:tcMar>
          </w:tcPr>
          <w:p w14:paraId="37A3C54A" w14:textId="77777777" w:rsidR="00A31087" w:rsidRPr="0017795C" w:rsidRDefault="00A31087" w:rsidP="00A31087">
            <w:pPr>
              <w:spacing w:after="0"/>
              <w:rPr>
                <w:rFonts w:cs="Arial"/>
                <w:b/>
                <w:bCs/>
                <w:sz w:val="22"/>
              </w:rPr>
            </w:pPr>
          </w:p>
        </w:tc>
        <w:tc>
          <w:tcPr>
            <w:tcW w:w="3447" w:type="dxa"/>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20D47D61" w14:textId="2238ADB9" w:rsidR="00A31087" w:rsidRPr="00523098" w:rsidRDefault="00A31087" w:rsidP="00A31087">
            <w:pPr>
              <w:spacing w:after="0"/>
              <w:rPr>
                <w:rFonts w:cs="Arial"/>
                <w:bCs/>
                <w:sz w:val="22"/>
              </w:rPr>
            </w:pPr>
            <w:r w:rsidRPr="00523098">
              <w:rPr>
                <w:rFonts w:cs="Arial"/>
                <w:bCs/>
                <w:sz w:val="22"/>
              </w:rPr>
              <w:t>2023</w:t>
            </w:r>
          </w:p>
        </w:tc>
        <w:tc>
          <w:tcPr>
            <w:tcW w:w="3967" w:type="dxa"/>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12DAAF62" w14:textId="02EFFA1A" w:rsidR="00A31087" w:rsidRPr="00523098" w:rsidRDefault="00A31087" w:rsidP="00A31087">
            <w:pPr>
              <w:spacing w:after="0"/>
              <w:rPr>
                <w:rFonts w:cs="Arial"/>
                <w:bCs/>
                <w:sz w:val="22"/>
              </w:rPr>
            </w:pPr>
            <w:r w:rsidRPr="00523098">
              <w:rPr>
                <w:rFonts w:cs="Arial"/>
                <w:bCs/>
                <w:sz w:val="22"/>
              </w:rPr>
              <w:t>2027</w:t>
            </w:r>
          </w:p>
        </w:tc>
      </w:tr>
      <w:tr w:rsidR="00A31087" w:rsidRPr="0017795C" w14:paraId="0EEEC0B4" w14:textId="77777777" w:rsidTr="00BE2297">
        <w:trPr>
          <w:gridAfter w:val="1"/>
          <w:wAfter w:w="19" w:type="dxa"/>
          <w:trHeight w:val="202"/>
        </w:trPr>
        <w:tc>
          <w:tcPr>
            <w:tcW w:w="2651" w:type="dxa"/>
            <w:vMerge w:val="restart"/>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7DD2074" w14:textId="77777777" w:rsidR="00A31087" w:rsidRPr="0017795C" w:rsidRDefault="00A31087" w:rsidP="00A31087">
            <w:pPr>
              <w:spacing w:after="0"/>
              <w:rPr>
                <w:rFonts w:cs="Arial"/>
                <w:b/>
                <w:bCs/>
                <w:sz w:val="22"/>
              </w:rPr>
            </w:pPr>
            <w:r w:rsidRPr="0017795C">
              <w:rPr>
                <w:rFonts w:cs="Arial"/>
                <w:b/>
                <w:bCs/>
                <w:sz w:val="22"/>
              </w:rPr>
              <w:t xml:space="preserve">Odpovědnost za realizaci = nositel opatření/programu </w:t>
            </w:r>
          </w:p>
        </w:tc>
        <w:tc>
          <w:tcPr>
            <w:tcW w:w="7414"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932DA54" w14:textId="77777777" w:rsidR="00A31087" w:rsidRPr="00523098" w:rsidRDefault="00A31087" w:rsidP="00A31087">
            <w:pPr>
              <w:spacing w:after="0"/>
              <w:rPr>
                <w:rFonts w:cs="Arial"/>
                <w:b/>
                <w:bCs/>
                <w:sz w:val="22"/>
              </w:rPr>
            </w:pPr>
            <w:r w:rsidRPr="00523098">
              <w:rPr>
                <w:rFonts w:cs="Arial"/>
                <w:b/>
                <w:bCs/>
                <w:sz w:val="22"/>
              </w:rPr>
              <w:t>Organizace</w:t>
            </w:r>
          </w:p>
        </w:tc>
      </w:tr>
      <w:tr w:rsidR="00A31087" w:rsidRPr="0017795C" w14:paraId="4AB1C424" w14:textId="77777777" w:rsidTr="14558089">
        <w:trPr>
          <w:gridAfter w:val="1"/>
          <w:wAfter w:w="19" w:type="dxa"/>
          <w:trHeight w:val="452"/>
        </w:trPr>
        <w:tc>
          <w:tcPr>
            <w:tcW w:w="2651" w:type="dxa"/>
            <w:vMerge/>
            <w:tcMar>
              <w:left w:w="108" w:type="dxa"/>
            </w:tcMar>
          </w:tcPr>
          <w:p w14:paraId="78637A5A" w14:textId="77777777" w:rsidR="00A31087" w:rsidRPr="0017795C" w:rsidRDefault="00A31087" w:rsidP="00A31087">
            <w:pPr>
              <w:spacing w:after="0"/>
              <w:rPr>
                <w:rFonts w:cs="Arial"/>
                <w:b/>
                <w:bCs/>
                <w:sz w:val="22"/>
              </w:rPr>
            </w:pPr>
          </w:p>
        </w:tc>
        <w:tc>
          <w:tcPr>
            <w:tcW w:w="7414" w:type="dxa"/>
            <w:gridSpan w:val="2"/>
            <w:tcBorders>
              <w:top w:val="single" w:sz="4" w:space="0" w:color="000001"/>
              <w:left w:val="single" w:sz="4" w:space="0" w:color="000001"/>
              <w:right w:val="single" w:sz="4" w:space="0" w:color="000001"/>
            </w:tcBorders>
            <w:shd w:val="clear" w:color="auto" w:fill="auto"/>
            <w:tcMar>
              <w:left w:w="108" w:type="dxa"/>
            </w:tcMar>
          </w:tcPr>
          <w:p w14:paraId="0A5831E6" w14:textId="35363A42" w:rsidR="00A31087" w:rsidRDefault="00A31087" w:rsidP="00A31087">
            <w:pPr>
              <w:spacing w:after="0" w:line="276" w:lineRule="auto"/>
              <w:jc w:val="both"/>
              <w:rPr>
                <w:rFonts w:eastAsia="Times New Roman" w:cs="Arial"/>
                <w:iCs/>
                <w:sz w:val="22"/>
                <w:lang w:eastAsia="cs-CZ"/>
              </w:rPr>
            </w:pPr>
            <w:r w:rsidRPr="00523098">
              <w:rPr>
                <w:rFonts w:eastAsia="Times New Roman" w:cs="Arial"/>
                <w:iCs/>
                <w:sz w:val="22"/>
                <w:lang w:eastAsia="cs-CZ"/>
              </w:rPr>
              <w:t xml:space="preserve">MPO jako nositel programu se zodpovědností za jeho řízení. </w:t>
            </w:r>
          </w:p>
          <w:p w14:paraId="7C65BFB4" w14:textId="52B2F4CF" w:rsidR="00B514C9" w:rsidRPr="00B514C9" w:rsidRDefault="00B514C9" w:rsidP="00A31087">
            <w:pPr>
              <w:spacing w:after="0" w:line="276" w:lineRule="auto"/>
              <w:jc w:val="both"/>
              <w:rPr>
                <w:rFonts w:eastAsia="Times New Roman" w:cs="Arial"/>
                <w:iCs/>
                <w:color w:val="FF0000"/>
                <w:sz w:val="22"/>
                <w:lang w:eastAsia="cs-CZ"/>
              </w:rPr>
            </w:pPr>
            <w:r w:rsidRPr="00B514C9">
              <w:rPr>
                <w:rFonts w:eastAsia="Times New Roman" w:cs="Arial"/>
                <w:iCs/>
                <w:color w:val="FF0000"/>
                <w:sz w:val="22"/>
                <w:lang w:eastAsia="cs-CZ"/>
              </w:rPr>
              <w:t>MŽP</w:t>
            </w:r>
          </w:p>
          <w:p w14:paraId="51D3F02D" w14:textId="0F1108CD" w:rsidR="00A31087" w:rsidRPr="00523098" w:rsidRDefault="00A31087" w:rsidP="00A31087">
            <w:pPr>
              <w:spacing w:after="0" w:line="276" w:lineRule="auto"/>
              <w:jc w:val="both"/>
              <w:rPr>
                <w:rFonts w:eastAsia="Times New Roman" w:cs="Arial"/>
                <w:iCs/>
                <w:sz w:val="22"/>
                <w:lang w:eastAsia="cs-CZ"/>
              </w:rPr>
            </w:pPr>
          </w:p>
        </w:tc>
      </w:tr>
      <w:tr w:rsidR="00A31087" w:rsidRPr="0017795C" w14:paraId="34660C98" w14:textId="77777777" w:rsidTr="14558089">
        <w:trPr>
          <w:gridAfter w:val="1"/>
          <w:wAfter w:w="19" w:type="dxa"/>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BE7218" w14:textId="77777777" w:rsidR="00A31087" w:rsidRPr="0017795C" w:rsidRDefault="00A31087" w:rsidP="00A31087">
            <w:pPr>
              <w:spacing w:after="0"/>
              <w:rPr>
                <w:rFonts w:cs="Arial"/>
                <w:b/>
                <w:bCs/>
                <w:sz w:val="22"/>
              </w:rPr>
            </w:pPr>
            <w:r w:rsidRPr="0017795C">
              <w:rPr>
                <w:rFonts w:cs="Arial"/>
                <w:b/>
                <w:bCs/>
                <w:sz w:val="22"/>
              </w:rPr>
              <w:t>Rozpočet (odhad)</w:t>
            </w:r>
          </w:p>
          <w:p w14:paraId="452BD477" w14:textId="77777777" w:rsidR="00A31087" w:rsidRPr="0017795C" w:rsidRDefault="00A31087" w:rsidP="00A31087">
            <w:pPr>
              <w:spacing w:after="0"/>
              <w:rPr>
                <w:rFonts w:cs="Arial"/>
                <w:b/>
                <w:bCs/>
                <w:sz w:val="22"/>
              </w:rPr>
            </w:pPr>
            <w:r w:rsidRPr="0017795C">
              <w:rPr>
                <w:rFonts w:cs="Arial"/>
                <w:bCs/>
                <w:i/>
                <w:sz w:val="22"/>
              </w:rPr>
              <w:t>na realizaci nebo na přípravu v případě, kdy se opatření připravuje pro další akční plán</w:t>
            </w:r>
            <w:r w:rsidRPr="0017795C">
              <w:rPr>
                <w:rFonts w:cs="Arial"/>
                <w:bCs/>
                <w:sz w:val="22"/>
              </w:rPr>
              <w:t> </w:t>
            </w:r>
            <w:r w:rsidRPr="0017795C">
              <w:rPr>
                <w:rFonts w:cs="Arial"/>
                <w:b/>
                <w:bCs/>
                <w:sz w:val="22"/>
              </w:rPr>
              <w:t> </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82B997" w14:textId="77777777" w:rsidR="00A31087" w:rsidRPr="00523098" w:rsidRDefault="00A31087" w:rsidP="00A31087">
            <w:pPr>
              <w:spacing w:after="0"/>
              <w:rPr>
                <w:rFonts w:cs="Arial"/>
                <w:bCs/>
                <w:sz w:val="22"/>
              </w:rPr>
            </w:pPr>
            <w:r w:rsidRPr="00523098">
              <w:rPr>
                <w:rFonts w:cs="Arial"/>
                <w:b/>
                <w:bCs/>
                <w:sz w:val="22"/>
              </w:rPr>
              <w:t xml:space="preserve">Objem (Kč) </w:t>
            </w:r>
            <w:r w:rsidRPr="00523098">
              <w:rPr>
                <w:rFonts w:cs="Arial"/>
                <w:bCs/>
                <w:i/>
                <w:sz w:val="22"/>
              </w:rPr>
              <w:t>na celé období realizace</w:t>
            </w:r>
          </w:p>
        </w:tc>
        <w:tc>
          <w:tcPr>
            <w:tcW w:w="396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169FF5" w14:textId="77777777" w:rsidR="00A31087" w:rsidRPr="00523098" w:rsidRDefault="00A31087" w:rsidP="00A31087">
            <w:pPr>
              <w:spacing w:after="0"/>
              <w:rPr>
                <w:rFonts w:cs="Arial"/>
                <w:b/>
                <w:bCs/>
                <w:sz w:val="22"/>
              </w:rPr>
            </w:pPr>
            <w:r w:rsidRPr="00523098">
              <w:rPr>
                <w:rFonts w:cs="Arial"/>
                <w:b/>
                <w:bCs/>
                <w:sz w:val="22"/>
              </w:rPr>
              <w:t xml:space="preserve">Předpokládané zdroje financování </w:t>
            </w:r>
          </w:p>
          <w:p w14:paraId="0E036C7F" w14:textId="77777777" w:rsidR="00A31087" w:rsidRPr="00523098" w:rsidRDefault="00A31087" w:rsidP="00A31087">
            <w:pPr>
              <w:spacing w:after="0"/>
              <w:rPr>
                <w:rFonts w:cs="Arial"/>
                <w:bCs/>
                <w:sz w:val="22"/>
              </w:rPr>
            </w:pPr>
          </w:p>
        </w:tc>
      </w:tr>
      <w:tr w:rsidR="00A31087" w:rsidRPr="0017795C" w14:paraId="023AF1D4" w14:textId="77777777" w:rsidTr="00DE3075">
        <w:trPr>
          <w:gridAfter w:val="1"/>
          <w:wAfter w:w="19" w:type="dxa"/>
          <w:trHeight w:val="1040"/>
        </w:trPr>
        <w:tc>
          <w:tcPr>
            <w:tcW w:w="2651" w:type="dxa"/>
            <w:vMerge/>
            <w:tcMar>
              <w:left w:w="108" w:type="dxa"/>
            </w:tcMar>
          </w:tcPr>
          <w:p w14:paraId="49FDEF7F" w14:textId="77777777" w:rsidR="00A31087" w:rsidRPr="0017795C" w:rsidRDefault="00A31087" w:rsidP="00A31087">
            <w:pPr>
              <w:spacing w:after="0"/>
              <w:rPr>
                <w:rFonts w:cs="Arial"/>
                <w:bCs/>
                <w:sz w:val="22"/>
              </w:rPr>
            </w:pPr>
          </w:p>
        </w:tc>
        <w:tc>
          <w:tcPr>
            <w:tcW w:w="3447"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2DD9B188" w14:textId="326B5430" w:rsidR="00A31087" w:rsidRPr="00523098" w:rsidRDefault="00A31087" w:rsidP="00A31087">
            <w:pPr>
              <w:spacing w:after="0"/>
              <w:rPr>
                <w:rFonts w:cs="Arial"/>
                <w:bCs/>
                <w:sz w:val="22"/>
              </w:rPr>
            </w:pPr>
            <w:r w:rsidRPr="00523098">
              <w:rPr>
                <w:rFonts w:cs="Arial"/>
                <w:bCs/>
                <w:sz w:val="22"/>
              </w:rPr>
              <w:t>Dle příslušné výzvy OP TAK</w:t>
            </w:r>
            <w:r w:rsidR="00B514C9">
              <w:rPr>
                <w:rFonts w:cs="Arial"/>
                <w:bCs/>
                <w:sz w:val="22"/>
              </w:rPr>
              <w:t xml:space="preserve"> </w:t>
            </w:r>
            <w:r w:rsidR="00B514C9" w:rsidRPr="00B514C9">
              <w:rPr>
                <w:rFonts w:cs="Arial"/>
                <w:bCs/>
                <w:color w:val="FF0000"/>
                <w:sz w:val="22"/>
              </w:rPr>
              <w:t>a OPST</w:t>
            </w:r>
            <w:r w:rsidR="00B514C9">
              <w:rPr>
                <w:rFonts w:cs="Arial"/>
                <w:bCs/>
                <w:color w:val="FF0000"/>
                <w:sz w:val="22"/>
              </w:rPr>
              <w:t>.</w:t>
            </w:r>
          </w:p>
        </w:tc>
        <w:tc>
          <w:tcPr>
            <w:tcW w:w="3967"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1B28AB29" w14:textId="2961F911" w:rsidR="00A31087" w:rsidRPr="00523098" w:rsidRDefault="00A31087" w:rsidP="00A31087">
            <w:pPr>
              <w:spacing w:after="0"/>
              <w:rPr>
                <w:rFonts w:cs="Arial"/>
                <w:bCs/>
                <w:sz w:val="22"/>
              </w:rPr>
            </w:pPr>
            <w:r w:rsidRPr="00523098">
              <w:rPr>
                <w:rFonts w:cs="Arial"/>
                <w:bCs/>
                <w:sz w:val="22"/>
              </w:rPr>
              <w:t>OP TAK</w:t>
            </w:r>
            <w:r w:rsidR="00B514C9">
              <w:rPr>
                <w:rFonts w:cs="Arial"/>
                <w:bCs/>
                <w:sz w:val="22"/>
              </w:rPr>
              <w:t xml:space="preserve">, </w:t>
            </w:r>
            <w:r w:rsidR="00B514C9" w:rsidRPr="00B514C9">
              <w:rPr>
                <w:rFonts w:cs="Arial"/>
                <w:bCs/>
                <w:color w:val="FF0000"/>
                <w:sz w:val="22"/>
              </w:rPr>
              <w:t>OPST.</w:t>
            </w:r>
          </w:p>
        </w:tc>
      </w:tr>
      <w:tr w:rsidR="00A31087" w:rsidRPr="0017795C" w14:paraId="4E10614F" w14:textId="77777777" w:rsidTr="00DE3075">
        <w:trPr>
          <w:gridAfter w:val="1"/>
          <w:wAfter w:w="19" w:type="dxa"/>
          <w:trHeight w:val="628"/>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5C12C1" w14:textId="77777777" w:rsidR="00A31087" w:rsidRPr="0017795C" w:rsidRDefault="00A31087" w:rsidP="00A31087">
            <w:pPr>
              <w:spacing w:after="0"/>
              <w:rPr>
                <w:rFonts w:cs="Arial"/>
                <w:b/>
                <w:bCs/>
                <w:sz w:val="22"/>
              </w:rPr>
            </w:pPr>
            <w:r w:rsidRPr="0017795C">
              <w:rPr>
                <w:rFonts w:cs="Arial"/>
                <w:b/>
                <w:bCs/>
                <w:sz w:val="22"/>
              </w:rPr>
              <w:t xml:space="preserve">Příprava programu/opatření </w:t>
            </w:r>
          </w:p>
          <w:p w14:paraId="29484D8F" w14:textId="2C27350C" w:rsidR="00A31087" w:rsidRPr="0017795C" w:rsidRDefault="00A31087" w:rsidP="00A31087">
            <w:pPr>
              <w:spacing w:after="0"/>
              <w:rPr>
                <w:rFonts w:cs="Arial"/>
                <w:b/>
                <w:bCs/>
                <w:sz w:val="22"/>
              </w:rPr>
            </w:pPr>
            <w:r w:rsidRPr="0017795C">
              <w:rPr>
                <w:rFonts w:cs="Arial"/>
                <w:b/>
                <w:bCs/>
                <w:sz w:val="22"/>
              </w:rPr>
              <w:t xml:space="preserve">nebo objem prostředků pro rok </w:t>
            </w:r>
            <w:r>
              <w:rPr>
                <w:rFonts w:cs="Arial"/>
                <w:b/>
                <w:bCs/>
                <w:sz w:val="22"/>
              </w:rPr>
              <w:t>202</w:t>
            </w:r>
            <w:r w:rsidR="00FF0942">
              <w:rPr>
                <w:rFonts w:cs="Arial"/>
                <w:b/>
                <w:bCs/>
                <w:sz w:val="22"/>
              </w:rPr>
              <w:t>5</w:t>
            </w:r>
            <w:r>
              <w:rPr>
                <w:rFonts w:cs="Arial"/>
                <w:b/>
                <w:bCs/>
                <w:sz w:val="22"/>
              </w:rPr>
              <w:t>-202</w:t>
            </w:r>
            <w:r w:rsidR="00FF0942">
              <w:rPr>
                <w:rFonts w:cs="Arial"/>
                <w:b/>
                <w:bCs/>
                <w:sz w:val="22"/>
              </w:rPr>
              <w:t>6</w:t>
            </w:r>
            <w:r w:rsidR="00B514C9">
              <w:rPr>
                <w:rFonts w:cs="Arial"/>
                <w:b/>
                <w:bCs/>
                <w:sz w:val="22"/>
              </w:rPr>
              <w:t>+</w:t>
            </w:r>
          </w:p>
        </w:tc>
        <w:tc>
          <w:tcPr>
            <w:tcW w:w="3447"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55D43074" w14:textId="49B712FE" w:rsidR="00A31087" w:rsidRPr="00DA3833" w:rsidRDefault="00A31087" w:rsidP="00A31087">
            <w:pPr>
              <w:spacing w:after="0"/>
              <w:rPr>
                <w:rFonts w:cs="Arial"/>
                <w:b/>
                <w:bCs/>
                <w:sz w:val="22"/>
              </w:rPr>
            </w:pPr>
            <w:r w:rsidRPr="00DA3833">
              <w:rPr>
                <w:rFonts w:cs="Arial"/>
                <w:b/>
                <w:bCs/>
                <w:sz w:val="22"/>
              </w:rPr>
              <w:t>202</w:t>
            </w:r>
            <w:r w:rsidR="00FF0942" w:rsidRPr="00DA3833">
              <w:rPr>
                <w:rFonts w:cs="Arial"/>
                <w:b/>
                <w:bCs/>
                <w:sz w:val="22"/>
              </w:rPr>
              <w:t>5</w:t>
            </w:r>
            <w:r w:rsidRPr="00DA3833">
              <w:rPr>
                <w:rFonts w:cs="Arial"/>
                <w:b/>
                <w:bCs/>
                <w:sz w:val="22"/>
              </w:rPr>
              <w:t xml:space="preserve"> dle přípravy příslušné výzvy OP TAK</w:t>
            </w:r>
            <w:r w:rsidR="00FF0942" w:rsidRPr="00DA3833">
              <w:rPr>
                <w:rFonts w:cs="Arial"/>
                <w:b/>
                <w:bCs/>
                <w:sz w:val="22"/>
              </w:rPr>
              <w:t xml:space="preserve">, </w:t>
            </w:r>
            <w:r w:rsidR="00FF0942" w:rsidRPr="00DA3833">
              <w:rPr>
                <w:rFonts w:cs="Arial"/>
                <w:b/>
                <w:bCs/>
                <w:color w:val="FF0000"/>
                <w:sz w:val="22"/>
              </w:rPr>
              <w:t>OPST</w:t>
            </w:r>
          </w:p>
        </w:tc>
        <w:tc>
          <w:tcPr>
            <w:tcW w:w="3967"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4853B33F" w14:textId="12880E3A" w:rsidR="00A31087" w:rsidRPr="0017795C" w:rsidRDefault="00A31087" w:rsidP="00A31087">
            <w:pPr>
              <w:spacing w:after="0"/>
              <w:rPr>
                <w:rFonts w:cs="Arial"/>
                <w:bCs/>
                <w:sz w:val="22"/>
              </w:rPr>
            </w:pPr>
          </w:p>
        </w:tc>
      </w:tr>
      <w:tr w:rsidR="00A31087" w:rsidRPr="0017795C" w14:paraId="5377DA4D" w14:textId="77777777" w:rsidTr="00DE3075">
        <w:trPr>
          <w:gridAfter w:val="1"/>
          <w:wAfter w:w="19" w:type="dxa"/>
          <w:trHeight w:val="386"/>
        </w:trPr>
        <w:tc>
          <w:tcPr>
            <w:tcW w:w="2651" w:type="dxa"/>
            <w:vMerge/>
            <w:tcMar>
              <w:left w:w="108" w:type="dxa"/>
            </w:tcMar>
          </w:tcPr>
          <w:p w14:paraId="65720357" w14:textId="77777777" w:rsidR="00A31087" w:rsidRPr="0017795C" w:rsidRDefault="00A31087" w:rsidP="00A31087">
            <w:pPr>
              <w:spacing w:after="0"/>
              <w:rPr>
                <w:rFonts w:cs="Arial"/>
                <w:b/>
                <w:bCs/>
                <w:sz w:val="22"/>
              </w:rPr>
            </w:pPr>
          </w:p>
        </w:tc>
        <w:tc>
          <w:tcPr>
            <w:tcW w:w="3447"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61F7132B" w14:textId="397B981E" w:rsidR="00A31087" w:rsidRPr="00DA3833" w:rsidRDefault="00A31087" w:rsidP="00A31087">
            <w:pPr>
              <w:spacing w:after="0"/>
              <w:rPr>
                <w:rFonts w:cs="Arial"/>
                <w:b/>
                <w:bCs/>
                <w:sz w:val="22"/>
              </w:rPr>
            </w:pPr>
            <w:r w:rsidRPr="00DA3833">
              <w:rPr>
                <w:rFonts w:cs="Arial"/>
                <w:b/>
                <w:bCs/>
                <w:sz w:val="22"/>
              </w:rPr>
              <w:t>202</w:t>
            </w:r>
            <w:r w:rsidR="00FF0942" w:rsidRPr="00DA3833">
              <w:rPr>
                <w:rFonts w:cs="Arial"/>
                <w:b/>
                <w:bCs/>
                <w:sz w:val="22"/>
              </w:rPr>
              <w:t>6+</w:t>
            </w:r>
          </w:p>
        </w:tc>
        <w:tc>
          <w:tcPr>
            <w:tcW w:w="3967"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5EA74E68" w14:textId="08968950" w:rsidR="00A31087" w:rsidRPr="0017795C" w:rsidRDefault="00A31087" w:rsidP="00A31087">
            <w:pPr>
              <w:spacing w:after="0"/>
              <w:jc w:val="both"/>
              <w:rPr>
                <w:rFonts w:cs="Arial"/>
                <w:bCs/>
                <w:sz w:val="22"/>
              </w:rPr>
            </w:pPr>
          </w:p>
        </w:tc>
      </w:tr>
      <w:tr w:rsidR="00A31087" w:rsidRPr="0017795C" w14:paraId="0667D05A" w14:textId="77777777" w:rsidTr="00DE3075">
        <w:trPr>
          <w:gridAfter w:val="1"/>
          <w:wAfter w:w="19" w:type="dxa"/>
          <w:trHeight w:val="510"/>
        </w:trPr>
        <w:tc>
          <w:tcPr>
            <w:tcW w:w="2651" w:type="dxa"/>
            <w:vMerge w:val="restart"/>
            <w:tcBorders>
              <w:top w:val="single" w:sz="4" w:space="0" w:color="000001"/>
              <w:left w:val="single" w:sz="4" w:space="0" w:color="000001"/>
              <w:right w:val="single" w:sz="4" w:space="0" w:color="000001"/>
            </w:tcBorders>
            <w:shd w:val="clear" w:color="auto" w:fill="auto"/>
            <w:tcMar>
              <w:left w:w="108" w:type="dxa"/>
            </w:tcMar>
          </w:tcPr>
          <w:p w14:paraId="37FE92BE" w14:textId="77777777" w:rsidR="00A31087" w:rsidRPr="0017795C" w:rsidRDefault="00A31087" w:rsidP="00A31087">
            <w:pPr>
              <w:spacing w:after="0"/>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3447" w:type="dxa"/>
            <w:tcBorders>
              <w:top w:val="single" w:sz="18" w:space="0" w:color="auto"/>
              <w:left w:val="single" w:sz="4" w:space="0" w:color="000001"/>
              <w:bottom w:val="dotted" w:sz="4" w:space="0" w:color="auto"/>
              <w:right w:val="single" w:sz="4" w:space="0" w:color="000001"/>
            </w:tcBorders>
            <w:shd w:val="clear" w:color="auto" w:fill="auto"/>
            <w:tcMar>
              <w:left w:w="108" w:type="dxa"/>
            </w:tcMar>
          </w:tcPr>
          <w:p w14:paraId="3C50438A" w14:textId="121E650F" w:rsidR="00A31087" w:rsidRPr="00650141" w:rsidRDefault="00A31087" w:rsidP="00A31087">
            <w:pPr>
              <w:spacing w:after="0"/>
              <w:rPr>
                <w:rFonts w:cs="Arial"/>
                <w:bCs/>
                <w:sz w:val="22"/>
              </w:rPr>
            </w:pPr>
          </w:p>
        </w:tc>
        <w:tc>
          <w:tcPr>
            <w:tcW w:w="3967" w:type="dxa"/>
            <w:tcBorders>
              <w:top w:val="single" w:sz="18" w:space="0" w:color="auto"/>
              <w:left w:val="single" w:sz="4" w:space="0" w:color="000001"/>
              <w:bottom w:val="dotted" w:sz="4" w:space="0" w:color="auto"/>
              <w:right w:val="single" w:sz="4" w:space="0" w:color="000001"/>
            </w:tcBorders>
            <w:shd w:val="clear" w:color="auto" w:fill="auto"/>
          </w:tcPr>
          <w:p w14:paraId="6E3BC7AB" w14:textId="353CEEB0" w:rsidR="00A31087" w:rsidRPr="00A31087" w:rsidRDefault="00A31087" w:rsidP="00A31087">
            <w:pPr>
              <w:spacing w:after="0"/>
              <w:rPr>
                <w:rFonts w:cs="Arial"/>
                <w:bCs/>
                <w:sz w:val="22"/>
              </w:rPr>
            </w:pPr>
            <w:r w:rsidRPr="00A31087">
              <w:rPr>
                <w:rFonts w:cs="Arial"/>
                <w:bCs/>
                <w:sz w:val="22"/>
              </w:rPr>
              <w:t>Běžné provozní prostředky MPO a API.</w:t>
            </w:r>
          </w:p>
        </w:tc>
      </w:tr>
      <w:tr w:rsidR="00A31087" w:rsidRPr="0017795C" w14:paraId="589E85E5" w14:textId="77777777" w:rsidTr="009A5426">
        <w:trPr>
          <w:gridAfter w:val="1"/>
          <w:wAfter w:w="19" w:type="dxa"/>
          <w:trHeight w:val="1304"/>
        </w:trPr>
        <w:tc>
          <w:tcPr>
            <w:tcW w:w="2651" w:type="dxa"/>
            <w:vMerge/>
            <w:tcMar>
              <w:left w:w="108" w:type="dxa"/>
            </w:tcMar>
          </w:tcPr>
          <w:p w14:paraId="57B0CF75" w14:textId="77777777" w:rsidR="00A31087" w:rsidRPr="0017795C" w:rsidRDefault="00A31087" w:rsidP="00A31087">
            <w:pPr>
              <w:spacing w:after="0"/>
              <w:rPr>
                <w:rFonts w:cs="Arial"/>
                <w:b/>
                <w:bCs/>
                <w:sz w:val="22"/>
              </w:rPr>
            </w:pPr>
          </w:p>
        </w:tc>
        <w:tc>
          <w:tcPr>
            <w:tcW w:w="3447" w:type="dxa"/>
            <w:tcBorders>
              <w:top w:val="dotted" w:sz="4" w:space="0" w:color="auto"/>
              <w:left w:val="single" w:sz="4" w:space="0" w:color="000001"/>
              <w:bottom w:val="single" w:sz="18" w:space="0" w:color="auto"/>
              <w:right w:val="single" w:sz="4" w:space="0" w:color="000001"/>
            </w:tcBorders>
            <w:shd w:val="clear" w:color="auto" w:fill="auto"/>
            <w:tcMar>
              <w:left w:w="108" w:type="dxa"/>
            </w:tcMar>
          </w:tcPr>
          <w:p w14:paraId="4A6C4D1E" w14:textId="2BF8B848" w:rsidR="00A31087" w:rsidRPr="0017795C" w:rsidRDefault="00A31087" w:rsidP="00A31087">
            <w:pPr>
              <w:pStyle w:val="Odstavecseseznamem"/>
              <w:spacing w:after="0" w:line="276" w:lineRule="auto"/>
              <w:ind w:left="222"/>
              <w:rPr>
                <w:rFonts w:cs="Arial"/>
                <w:bCs/>
                <w:sz w:val="22"/>
              </w:rPr>
            </w:pPr>
          </w:p>
        </w:tc>
        <w:tc>
          <w:tcPr>
            <w:tcW w:w="3967" w:type="dxa"/>
            <w:tcBorders>
              <w:top w:val="dotted" w:sz="4" w:space="0" w:color="auto"/>
              <w:left w:val="single" w:sz="4" w:space="0" w:color="000001"/>
              <w:bottom w:val="single" w:sz="18" w:space="0" w:color="auto"/>
              <w:right w:val="single" w:sz="4" w:space="0" w:color="000001"/>
            </w:tcBorders>
            <w:shd w:val="clear" w:color="auto" w:fill="auto"/>
          </w:tcPr>
          <w:p w14:paraId="37D745D3" w14:textId="33179D42" w:rsidR="00A31087" w:rsidRPr="0017795C" w:rsidRDefault="00A31087" w:rsidP="00A31087">
            <w:pPr>
              <w:spacing w:after="0"/>
              <w:rPr>
                <w:rFonts w:cs="Arial"/>
                <w:bCs/>
                <w:sz w:val="22"/>
              </w:rPr>
            </w:pPr>
          </w:p>
        </w:tc>
      </w:tr>
    </w:tbl>
    <w:p w14:paraId="2A2D8FC0" w14:textId="4F8AD4AC" w:rsidR="005607AB" w:rsidRDefault="005607AB" w:rsidP="00EC1098">
      <w:pPr>
        <w:rPr>
          <w:rFonts w:cs="Arial"/>
        </w:rPr>
      </w:pPr>
    </w:p>
    <w:p w14:paraId="7638EFB2" w14:textId="6F4224CF" w:rsidR="0059113D" w:rsidRDefault="0059113D" w:rsidP="00EC1098">
      <w:pPr>
        <w:rPr>
          <w:rFonts w:cs="Arial"/>
        </w:rPr>
      </w:pPr>
    </w:p>
    <w:p w14:paraId="578B05B2" w14:textId="183BCD49" w:rsidR="007006B2" w:rsidRDefault="007006B2" w:rsidP="00EC1098">
      <w:pPr>
        <w:rPr>
          <w:rFonts w:cs="Arial"/>
        </w:rPr>
      </w:pPr>
    </w:p>
    <w:p w14:paraId="493F3AD1" w14:textId="19C040D7" w:rsidR="007006B2" w:rsidRDefault="007006B2" w:rsidP="00EC1098">
      <w:pPr>
        <w:rPr>
          <w:rFonts w:cs="Arial"/>
        </w:rPr>
      </w:pPr>
    </w:p>
    <w:p w14:paraId="7F843492" w14:textId="77777777" w:rsidR="007006B2" w:rsidRDefault="007006B2" w:rsidP="00EC1098">
      <w:pPr>
        <w:rPr>
          <w:rFonts w:cs="Arial"/>
        </w:rPr>
      </w:pPr>
    </w:p>
    <w:p w14:paraId="596306EA" w14:textId="77777777" w:rsidR="00DF6076" w:rsidRDefault="00DF6076" w:rsidP="00EC1098">
      <w:pPr>
        <w:rPr>
          <w:rFonts w:cs="Arial"/>
        </w:rPr>
      </w:pPr>
    </w:p>
    <w:p w14:paraId="364085C1" w14:textId="01DBBDC5" w:rsidR="00784DDD" w:rsidRDefault="6FEAED35" w:rsidP="0053700D">
      <w:pPr>
        <w:pStyle w:val="Nadpis1"/>
      </w:pPr>
      <w:bookmarkStart w:id="45" w:name="_Toc63804144"/>
      <w:bookmarkStart w:id="46" w:name="_Toc175743057"/>
      <w:bookmarkStart w:id="47" w:name="_Toc479589384"/>
      <w:bookmarkStart w:id="48" w:name="_Toc486595414"/>
      <w:bookmarkStart w:id="49" w:name="_Toc515874838"/>
      <w:bookmarkEnd w:id="45"/>
      <w:r>
        <w:lastRenderedPageBreak/>
        <w:t>Pilíř B– Přímé investice</w:t>
      </w:r>
      <w:bookmarkEnd w:id="46"/>
    </w:p>
    <w:p w14:paraId="660BD6F3" w14:textId="77777777" w:rsidR="007006B2" w:rsidRPr="007006B2" w:rsidRDefault="007006B2" w:rsidP="007006B2"/>
    <w:p w14:paraId="21987081" w14:textId="4BEA7F2E" w:rsidR="00784DDD" w:rsidRDefault="0053700D" w:rsidP="0053700D">
      <w:pPr>
        <w:pStyle w:val="Nadpis2"/>
        <w:rPr>
          <w:rStyle w:val="Nadpis2Char"/>
        </w:rPr>
      </w:pPr>
      <w:bookmarkStart w:id="50" w:name="_Toc175743058"/>
      <w:r>
        <w:rPr>
          <w:rFonts w:cs="Arial"/>
        </w:rPr>
        <w:t>B.</w:t>
      </w:r>
      <w:r w:rsidR="00DF6076">
        <w:rPr>
          <w:rFonts w:cs="Arial"/>
        </w:rPr>
        <w:t>1</w:t>
      </w:r>
      <w:r>
        <w:rPr>
          <w:rFonts w:cs="Arial"/>
        </w:rPr>
        <w:t xml:space="preserve"> </w:t>
      </w:r>
      <w:r w:rsidR="00DF6076">
        <w:rPr>
          <w:rStyle w:val="Nadpis2Char"/>
        </w:rPr>
        <w:t>Vytvořit kvalitní a atraktivní podnikatelské prostředí</w:t>
      </w:r>
      <w:bookmarkEnd w:id="50"/>
    </w:p>
    <w:p w14:paraId="184F9556" w14:textId="46AF9D4D" w:rsidR="0053700D" w:rsidRDefault="565A66EA" w:rsidP="0053700D">
      <w:pPr>
        <w:pStyle w:val="Nadpis3"/>
      </w:pPr>
      <w:bookmarkStart w:id="51" w:name="_Toc175743059"/>
      <w:r>
        <w:t>V</w:t>
      </w:r>
      <w:r w:rsidR="00FF0942">
        <w:t>I</w:t>
      </w:r>
      <w:r>
        <w:t>.B.</w:t>
      </w:r>
      <w:r w:rsidR="00FF0942">
        <w:t>1</w:t>
      </w:r>
      <w:r>
        <w:t>.</w:t>
      </w:r>
      <w:r w:rsidR="00FF0942">
        <w:t>3</w:t>
      </w:r>
      <w:r>
        <w:t xml:space="preserve"> </w:t>
      </w:r>
      <w:r w:rsidR="00FF0942">
        <w:t>Návrh komplexního projektu propojujícího v Ústeckém a Karlovarském kraji těžbu lithia a doprovodných kovů</w:t>
      </w:r>
      <w:bookmarkEnd w:id="51"/>
    </w:p>
    <w:tbl>
      <w:tblPr>
        <w:tblW w:w="9952" w:type="dxa"/>
        <w:tblInd w:w="-459"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651"/>
        <w:gridCol w:w="3447"/>
        <w:gridCol w:w="3854"/>
      </w:tblGrid>
      <w:tr w:rsidR="00267943" w:rsidRPr="004039E7" w14:paraId="1DA66667" w14:textId="77777777" w:rsidTr="00B5455F">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7D68F60" w14:textId="77777777" w:rsidR="00267943" w:rsidRPr="0017795C" w:rsidRDefault="00267943" w:rsidP="00267943">
            <w:pPr>
              <w:spacing w:after="0"/>
              <w:rPr>
                <w:rFonts w:cs="Arial"/>
                <w:b/>
                <w:bCs/>
                <w:sz w:val="22"/>
              </w:rPr>
            </w:pPr>
            <w:r w:rsidRPr="0017795C">
              <w:rPr>
                <w:rFonts w:cs="Arial"/>
                <w:b/>
                <w:bCs/>
                <w:sz w:val="22"/>
              </w:rPr>
              <w:t>Úkol</w:t>
            </w:r>
          </w:p>
        </w:tc>
        <w:tc>
          <w:tcPr>
            <w:tcW w:w="7301"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316F81E" w14:textId="77777777" w:rsidR="00FF0942" w:rsidRPr="00DA3833" w:rsidRDefault="00FF0942" w:rsidP="00FF0942">
            <w:pPr>
              <w:spacing w:after="0"/>
              <w:jc w:val="both"/>
              <w:rPr>
                <w:rFonts w:cs="Calibri"/>
                <w:b/>
                <w:bCs/>
                <w:color w:val="FF0000"/>
                <w:sz w:val="22"/>
              </w:rPr>
            </w:pPr>
            <w:r w:rsidRPr="00DA3833">
              <w:rPr>
                <w:rFonts w:cs="Calibri"/>
                <w:b/>
                <w:bCs/>
                <w:sz w:val="22"/>
              </w:rPr>
              <w:t xml:space="preserve">Vláda ukládá ministrovi průmyslu a obchodu </w:t>
            </w:r>
            <w:r w:rsidRPr="00DA3833">
              <w:rPr>
                <w:rFonts w:cs="Calibri"/>
                <w:b/>
                <w:bCs/>
                <w:color w:val="FF0000"/>
                <w:sz w:val="22"/>
              </w:rPr>
              <w:t>ve spolupráci s Ministerstvem životního prostředí</w:t>
            </w:r>
          </w:p>
          <w:p w14:paraId="033972D7" w14:textId="77777777" w:rsidR="00FF0942" w:rsidRPr="00DA3833" w:rsidRDefault="00FF0942" w:rsidP="00FF0942">
            <w:pPr>
              <w:spacing w:after="0"/>
              <w:ind w:left="708"/>
              <w:jc w:val="both"/>
              <w:rPr>
                <w:rFonts w:cs="Calibri"/>
                <w:sz w:val="22"/>
              </w:rPr>
            </w:pPr>
            <w:r w:rsidRPr="00DA3833">
              <w:rPr>
                <w:rFonts w:cs="Calibri"/>
                <w:sz w:val="22"/>
              </w:rPr>
              <w:t>- připravit strategii rozvoje hodnotových/produkčních řetězců vázaných na těžbu lithia v ČR a formou identifikace možných nových rozvojových programů vytvářet prostředí pro to, aby mohly být přednostně do Ústeckého a Karlovarského kraje formou investičních pobídek získány další výrobní aktivity, výzkum a služby navazující na produkci lithia a z něho vyrobených produktů</w:t>
            </w:r>
          </w:p>
          <w:p w14:paraId="4DF750B6" w14:textId="77777777" w:rsidR="00FF0942" w:rsidRPr="00DA3833" w:rsidRDefault="00FF0942" w:rsidP="00FF0942">
            <w:pPr>
              <w:spacing w:after="0"/>
              <w:ind w:left="708"/>
              <w:jc w:val="both"/>
              <w:rPr>
                <w:rFonts w:cs="Calibri"/>
                <w:sz w:val="22"/>
              </w:rPr>
            </w:pPr>
            <w:r w:rsidRPr="00DA3833">
              <w:rPr>
                <w:rFonts w:cs="Calibri"/>
                <w:sz w:val="22"/>
              </w:rPr>
              <w:t>- zpracovat analýzu možností využití lithia pro jiné výroby než je výroba baterií a analýzu možností využití dalších prvků, nacházejících se na ložisku Cínovec a Horní Slavkov, pro využití v průmyslových/komerčních aplikacích</w:t>
            </w:r>
          </w:p>
          <w:p w14:paraId="23E02F36" w14:textId="77777777" w:rsidR="00FF0942" w:rsidRPr="00DA3833" w:rsidRDefault="00FF0942" w:rsidP="00FF0942">
            <w:pPr>
              <w:spacing w:after="0" w:line="276" w:lineRule="auto"/>
              <w:ind w:left="720"/>
              <w:jc w:val="both"/>
              <w:rPr>
                <w:rFonts w:cs="Calibri"/>
                <w:sz w:val="22"/>
              </w:rPr>
            </w:pPr>
            <w:r w:rsidRPr="00DA3833">
              <w:rPr>
                <w:rFonts w:cs="Calibri"/>
                <w:sz w:val="22"/>
              </w:rPr>
              <w:t>- připravit a zadat výzkumný program, který by se zabýval možnostmi využívání dalších prvků, které je možné získat při těžbě lithia, výzkumem a vývojem v oblasti Li baterií a dalšími možnostmi využití lithia včetně výzkumu produkce karbonátu lithia případně dalších poloproduktů tak, aby vyhovovaly požadavkům těchto navazujících využití</w:t>
            </w:r>
          </w:p>
          <w:p w14:paraId="6A7FF3F8" w14:textId="77777777" w:rsidR="00FF0942" w:rsidRPr="00DA3833" w:rsidRDefault="00FF0942" w:rsidP="002E4092">
            <w:pPr>
              <w:numPr>
                <w:ilvl w:val="0"/>
                <w:numId w:val="13"/>
              </w:numPr>
              <w:spacing w:after="0" w:line="240" w:lineRule="auto"/>
              <w:jc w:val="both"/>
              <w:rPr>
                <w:sz w:val="22"/>
              </w:rPr>
            </w:pPr>
            <w:r w:rsidRPr="00DA3833">
              <w:rPr>
                <w:sz w:val="22"/>
              </w:rPr>
              <w:t>zpracovat komplexní projekt propojující v Ústeckém kraji těžbu lithia a doprovodných kovů</w:t>
            </w:r>
          </w:p>
          <w:p w14:paraId="49BF6AA1" w14:textId="77777777" w:rsidR="00FF0942" w:rsidRPr="00DA3833" w:rsidRDefault="00FF0942" w:rsidP="002E4092">
            <w:pPr>
              <w:numPr>
                <w:ilvl w:val="0"/>
                <w:numId w:val="13"/>
              </w:numPr>
              <w:spacing w:after="0" w:line="240" w:lineRule="auto"/>
              <w:jc w:val="both"/>
              <w:rPr>
                <w:sz w:val="22"/>
              </w:rPr>
            </w:pPr>
            <w:r w:rsidRPr="00DA3833">
              <w:rPr>
                <w:sz w:val="22"/>
              </w:rPr>
              <w:t>zpracovat komplexní projekt propojující v Karlovarském kraji těžbu lithia a doprovodných kovů</w:t>
            </w:r>
          </w:p>
          <w:p w14:paraId="4F6A6DCA" w14:textId="77777777" w:rsidR="00FF0942" w:rsidRPr="00DA3833" w:rsidRDefault="00FF0942" w:rsidP="002E4092">
            <w:pPr>
              <w:numPr>
                <w:ilvl w:val="0"/>
                <w:numId w:val="13"/>
              </w:numPr>
              <w:spacing w:after="0" w:line="240" w:lineRule="auto"/>
              <w:jc w:val="both"/>
              <w:rPr>
                <w:sz w:val="22"/>
              </w:rPr>
            </w:pPr>
            <w:r w:rsidRPr="00DA3833">
              <w:rPr>
                <w:sz w:val="22"/>
              </w:rPr>
              <w:t>spolupracovat na zpracování projektu s Úřadem vládního zmocněnce pro Moravskoslezský, Ústecký a Karlovarský kraj</w:t>
            </w:r>
          </w:p>
          <w:p w14:paraId="28AA059F" w14:textId="4102CD47" w:rsidR="00267943" w:rsidRPr="00DA3833" w:rsidRDefault="00FF0942" w:rsidP="00FF0942">
            <w:pPr>
              <w:spacing w:after="0" w:line="276" w:lineRule="auto"/>
              <w:jc w:val="both"/>
              <w:rPr>
                <w:rFonts w:cs="Arial"/>
                <w:sz w:val="22"/>
              </w:rPr>
            </w:pPr>
            <w:r w:rsidRPr="00DA3833">
              <w:rPr>
                <w:sz w:val="22"/>
              </w:rPr>
              <w:t>Vláda doporučuje hejtmanovi Ústeckého a Karlovarského kraje spolupracovat na přípravě tohoto komplexního projektu.</w:t>
            </w:r>
          </w:p>
        </w:tc>
      </w:tr>
      <w:tr w:rsidR="00267943" w:rsidRPr="0017795C" w14:paraId="64FAD31D" w14:textId="77777777" w:rsidTr="00B5455F">
        <w:trPr>
          <w:trHeight w:val="328"/>
        </w:trPr>
        <w:tc>
          <w:tcPr>
            <w:tcW w:w="2651"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13B33564" w14:textId="77777777" w:rsidR="00267943" w:rsidRPr="0017795C" w:rsidRDefault="00267943" w:rsidP="00267943">
            <w:pPr>
              <w:spacing w:after="0"/>
              <w:rPr>
                <w:rFonts w:cs="Arial"/>
                <w:b/>
                <w:bCs/>
                <w:sz w:val="22"/>
              </w:rPr>
            </w:pPr>
            <w:r w:rsidRPr="0017795C">
              <w:rPr>
                <w:rFonts w:cs="Arial"/>
                <w:b/>
                <w:bCs/>
                <w:sz w:val="22"/>
              </w:rPr>
              <w:t>Pilíř</w:t>
            </w:r>
          </w:p>
        </w:tc>
        <w:tc>
          <w:tcPr>
            <w:tcW w:w="7301"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F0C7E7D" w14:textId="6AA9CE31" w:rsidR="00FF0942" w:rsidRDefault="6B10D354" w:rsidP="6D1F8D71">
            <w:pPr>
              <w:spacing w:after="0"/>
              <w:rPr>
                <w:rFonts w:cs="Arial"/>
                <w:sz w:val="22"/>
              </w:rPr>
            </w:pPr>
            <w:r w:rsidRPr="6D1F8D71">
              <w:rPr>
                <w:rFonts w:cs="Arial"/>
                <w:sz w:val="22"/>
              </w:rPr>
              <w:t xml:space="preserve">Pilíř </w:t>
            </w:r>
            <w:r w:rsidR="00FF0942">
              <w:rPr>
                <w:rFonts w:cs="Arial"/>
                <w:sz w:val="22"/>
              </w:rPr>
              <w:t>A – Podnikání a inovace</w:t>
            </w:r>
          </w:p>
          <w:p w14:paraId="0F582145" w14:textId="6442E72E" w:rsidR="003F7244" w:rsidRDefault="003F7244" w:rsidP="6D1F8D71">
            <w:pPr>
              <w:spacing w:after="0"/>
              <w:rPr>
                <w:rFonts w:cs="Arial"/>
                <w:sz w:val="22"/>
              </w:rPr>
            </w:pPr>
            <w:r>
              <w:rPr>
                <w:rFonts w:cs="Arial"/>
                <w:sz w:val="22"/>
              </w:rPr>
              <w:t>Pilíř B – Přímé investice</w:t>
            </w:r>
          </w:p>
          <w:p w14:paraId="5D140B1A" w14:textId="5E24548D" w:rsidR="00267943" w:rsidRPr="00267943" w:rsidRDefault="00FF0942" w:rsidP="6D1F8D71">
            <w:pPr>
              <w:spacing w:after="0"/>
              <w:rPr>
                <w:rFonts w:cs="Arial"/>
                <w:sz w:val="22"/>
              </w:rPr>
            </w:pPr>
            <w:r>
              <w:rPr>
                <w:rFonts w:cs="Arial"/>
                <w:sz w:val="22"/>
              </w:rPr>
              <w:t>Pilíř C – Výzkum a vývoj</w:t>
            </w:r>
            <w:r w:rsidR="6B10D354" w:rsidRPr="6D1F8D71">
              <w:rPr>
                <w:rFonts w:cs="Arial"/>
                <w:sz w:val="22"/>
              </w:rPr>
              <w:t xml:space="preserve"> </w:t>
            </w:r>
          </w:p>
        </w:tc>
      </w:tr>
      <w:tr w:rsidR="00267943" w:rsidRPr="0017795C" w14:paraId="0AC61366" w14:textId="77777777" w:rsidTr="00B5455F">
        <w:trPr>
          <w:trHeight w:val="328"/>
        </w:trPr>
        <w:tc>
          <w:tcPr>
            <w:tcW w:w="2651" w:type="dxa"/>
            <w:tcBorders>
              <w:left w:val="single" w:sz="4" w:space="0" w:color="000001"/>
              <w:bottom w:val="single" w:sz="4" w:space="0" w:color="000001"/>
              <w:right w:val="single" w:sz="4" w:space="0" w:color="000001"/>
            </w:tcBorders>
            <w:shd w:val="clear" w:color="auto" w:fill="auto"/>
            <w:tcMar>
              <w:left w:w="108" w:type="dxa"/>
            </w:tcMar>
          </w:tcPr>
          <w:p w14:paraId="0581E43E" w14:textId="77777777" w:rsidR="00267943" w:rsidRPr="0017795C" w:rsidRDefault="00267943" w:rsidP="00267943">
            <w:pPr>
              <w:spacing w:after="0"/>
              <w:rPr>
                <w:rFonts w:cs="Arial"/>
                <w:sz w:val="22"/>
              </w:rPr>
            </w:pPr>
            <w:r w:rsidRPr="0017795C">
              <w:rPr>
                <w:rFonts w:cs="Arial"/>
                <w:b/>
                <w:bCs/>
                <w:sz w:val="22"/>
              </w:rPr>
              <w:t>Strategický cíl/cíle</w:t>
            </w:r>
          </w:p>
        </w:tc>
        <w:tc>
          <w:tcPr>
            <w:tcW w:w="7301" w:type="dxa"/>
            <w:gridSpan w:val="2"/>
            <w:tcBorders>
              <w:left w:val="single" w:sz="4" w:space="0" w:color="000001"/>
              <w:bottom w:val="single" w:sz="4" w:space="0" w:color="000001"/>
              <w:right w:val="single" w:sz="4" w:space="0" w:color="000001"/>
            </w:tcBorders>
            <w:shd w:val="clear" w:color="auto" w:fill="auto"/>
            <w:tcMar>
              <w:left w:w="108" w:type="dxa"/>
            </w:tcMar>
          </w:tcPr>
          <w:p w14:paraId="7ADD6254" w14:textId="7752FCA2" w:rsidR="00FF0942" w:rsidRDefault="00FF0942" w:rsidP="00FF0942">
            <w:pPr>
              <w:spacing w:after="0"/>
              <w:jc w:val="both"/>
              <w:rPr>
                <w:rFonts w:cs="Calibri"/>
                <w:bCs/>
                <w:iCs/>
                <w:sz w:val="22"/>
              </w:rPr>
            </w:pPr>
            <w:r w:rsidRPr="00FF0942">
              <w:rPr>
                <w:rFonts w:cs="Calibri"/>
                <w:bCs/>
                <w:iCs/>
                <w:sz w:val="22"/>
              </w:rPr>
              <w:t>A.4 Stabilizace a rozvoj stávajících velkých firem*</w:t>
            </w:r>
          </w:p>
          <w:p w14:paraId="45B2BD66" w14:textId="544E2761" w:rsidR="003F7244" w:rsidRPr="00FF0942" w:rsidRDefault="003F7244" w:rsidP="00FF0942">
            <w:pPr>
              <w:spacing w:after="0"/>
              <w:jc w:val="both"/>
              <w:rPr>
                <w:rFonts w:cs="Calibri"/>
                <w:bCs/>
                <w:iCs/>
                <w:sz w:val="22"/>
              </w:rPr>
            </w:pPr>
            <w:r>
              <w:rPr>
                <w:rFonts w:cs="Calibri"/>
                <w:bCs/>
                <w:iCs/>
                <w:sz w:val="22"/>
              </w:rPr>
              <w:t>B.1 Vytvořit kvalitní a atraktivní podnikatelské prostředí</w:t>
            </w:r>
          </w:p>
          <w:p w14:paraId="631DD6CB" w14:textId="74435093" w:rsidR="00267943" w:rsidRPr="00267943" w:rsidRDefault="00FF0942" w:rsidP="00FF0942">
            <w:pPr>
              <w:spacing w:after="0"/>
              <w:rPr>
                <w:rFonts w:cs="Arial"/>
                <w:bCs/>
                <w:iCs/>
                <w:sz w:val="22"/>
              </w:rPr>
            </w:pPr>
            <w:r w:rsidRPr="00FF0942">
              <w:rPr>
                <w:rFonts w:cs="Calibri"/>
                <w:bCs/>
                <w:iCs/>
                <w:sz w:val="22"/>
              </w:rPr>
              <w:t>C.2 Výkonnější a atraktivnější VaV</w:t>
            </w:r>
          </w:p>
        </w:tc>
      </w:tr>
      <w:tr w:rsidR="00267943" w:rsidRPr="0017795C" w14:paraId="4F43E46A" w14:textId="77777777" w:rsidTr="00B5455F">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2E7E0" w14:textId="77777777" w:rsidR="00267943" w:rsidRPr="0017795C" w:rsidRDefault="00267943" w:rsidP="00267943">
            <w:pPr>
              <w:spacing w:after="0"/>
              <w:rPr>
                <w:rFonts w:cs="Arial"/>
                <w:b/>
                <w:bCs/>
                <w:sz w:val="22"/>
              </w:rPr>
            </w:pPr>
            <w:r w:rsidRPr="0017795C">
              <w:rPr>
                <w:rFonts w:cs="Arial"/>
                <w:b/>
                <w:bCs/>
                <w:sz w:val="22"/>
              </w:rPr>
              <w:t xml:space="preserve">Oblast změn </w:t>
            </w:r>
            <w:r>
              <w:rPr>
                <w:rFonts w:cs="Arial"/>
                <w:b/>
                <w:bCs/>
                <w:sz w:val="22"/>
              </w:rPr>
              <w:t>–</w:t>
            </w:r>
            <w:r w:rsidRPr="0017795C">
              <w:rPr>
                <w:rFonts w:cs="Arial"/>
                <w:b/>
                <w:bCs/>
                <w:sz w:val="22"/>
              </w:rPr>
              <w:t xml:space="preserve"> indikátory</w:t>
            </w:r>
          </w:p>
        </w:tc>
        <w:tc>
          <w:tcPr>
            <w:tcW w:w="73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3E0F4E" w14:textId="77777777" w:rsidR="00FF0942" w:rsidRPr="00FF0942" w:rsidRDefault="00FF0942" w:rsidP="00FF0942">
            <w:pPr>
              <w:spacing w:after="0"/>
              <w:jc w:val="both"/>
              <w:rPr>
                <w:rFonts w:cs="Calibri"/>
                <w:bCs/>
                <w:sz w:val="22"/>
              </w:rPr>
            </w:pPr>
            <w:r w:rsidRPr="00FF0942">
              <w:rPr>
                <w:rFonts w:cs="Calibri"/>
                <w:bCs/>
                <w:sz w:val="22"/>
              </w:rPr>
              <w:t>Změny*:</w:t>
            </w:r>
          </w:p>
          <w:p w14:paraId="45DE2334" w14:textId="77777777" w:rsidR="00FF0942" w:rsidRPr="00FF0942" w:rsidRDefault="00FF0942" w:rsidP="00FF0942">
            <w:pPr>
              <w:numPr>
                <w:ilvl w:val="0"/>
                <w:numId w:val="1"/>
              </w:numPr>
              <w:spacing w:after="0" w:line="276" w:lineRule="auto"/>
              <w:jc w:val="both"/>
              <w:rPr>
                <w:sz w:val="22"/>
              </w:rPr>
            </w:pPr>
            <w:r w:rsidRPr="00FF0942">
              <w:rPr>
                <w:sz w:val="22"/>
              </w:rPr>
              <w:t>efektivnější propojení klíčových hodnotových řetězců v krajích</w:t>
            </w:r>
          </w:p>
          <w:p w14:paraId="75F95E6D" w14:textId="77777777" w:rsidR="00FF0942" w:rsidRPr="00FF0942" w:rsidRDefault="00FF0942" w:rsidP="00FF0942">
            <w:pPr>
              <w:numPr>
                <w:ilvl w:val="0"/>
                <w:numId w:val="1"/>
              </w:numPr>
              <w:spacing w:after="0" w:line="276" w:lineRule="auto"/>
              <w:jc w:val="both"/>
              <w:rPr>
                <w:sz w:val="22"/>
              </w:rPr>
            </w:pPr>
            <w:r w:rsidRPr="00FF0942">
              <w:rPr>
                <w:sz w:val="22"/>
              </w:rPr>
              <w:t>zvýšené uplatnění firem na zahraničních trzích</w:t>
            </w:r>
          </w:p>
          <w:p w14:paraId="7AA861F2" w14:textId="77777777" w:rsidR="00FF0942" w:rsidRPr="00FF0942" w:rsidRDefault="00FF0942" w:rsidP="00FF0942">
            <w:pPr>
              <w:numPr>
                <w:ilvl w:val="0"/>
                <w:numId w:val="1"/>
              </w:numPr>
              <w:spacing w:after="0" w:line="276" w:lineRule="auto"/>
              <w:jc w:val="both"/>
              <w:rPr>
                <w:sz w:val="22"/>
              </w:rPr>
            </w:pPr>
            <w:r w:rsidRPr="00FF0942">
              <w:rPr>
                <w:sz w:val="22"/>
              </w:rPr>
              <w:t>posílení tematického zaměření VaV v Ústeckém kraji</w:t>
            </w:r>
          </w:p>
          <w:p w14:paraId="28C285EA" w14:textId="77777777" w:rsidR="00FF0942" w:rsidRPr="00FF0942" w:rsidRDefault="00FF0942" w:rsidP="00FF0942">
            <w:pPr>
              <w:spacing w:before="240" w:after="0"/>
              <w:jc w:val="both"/>
              <w:rPr>
                <w:rFonts w:cs="Calibri"/>
                <w:bCs/>
                <w:sz w:val="22"/>
              </w:rPr>
            </w:pPr>
            <w:r w:rsidRPr="00FF0942">
              <w:rPr>
                <w:rFonts w:cs="Calibri"/>
                <w:bCs/>
                <w:sz w:val="22"/>
              </w:rPr>
              <w:t>*Pozn.: Toto opatření se vymyká strategickému rámci, protože předpokládá (a podporuje) vznik nového produkčního řetězce a jeho posílení v Ústeckém kraji, a to produkčního řetězce založeného na těžbě, zpracování a dalším využití lithia. Není tedy zaměřeno na „stávající velké firmy“, ale na „nově vznikající velké a střední firmy“.</w:t>
            </w:r>
          </w:p>
          <w:p w14:paraId="4998255E" w14:textId="77777777" w:rsidR="00FF0942" w:rsidRPr="00FF0942" w:rsidRDefault="00FF0942" w:rsidP="00FF0942">
            <w:pPr>
              <w:spacing w:after="0"/>
              <w:jc w:val="both"/>
              <w:rPr>
                <w:rFonts w:cs="Calibri"/>
                <w:bCs/>
                <w:sz w:val="22"/>
              </w:rPr>
            </w:pPr>
          </w:p>
          <w:p w14:paraId="6CDE6C4D" w14:textId="77777777" w:rsidR="00FF0942" w:rsidRPr="00FF0942" w:rsidRDefault="00FF0942" w:rsidP="00FF0942">
            <w:pPr>
              <w:spacing w:after="0"/>
              <w:jc w:val="both"/>
              <w:rPr>
                <w:rFonts w:cs="Calibri"/>
                <w:bCs/>
                <w:sz w:val="22"/>
              </w:rPr>
            </w:pPr>
            <w:r w:rsidRPr="00FF0942">
              <w:rPr>
                <w:rFonts w:cs="Calibri"/>
                <w:bCs/>
                <w:sz w:val="22"/>
              </w:rPr>
              <w:t xml:space="preserve">Indikátory: </w:t>
            </w:r>
          </w:p>
          <w:p w14:paraId="2BEDA80E" w14:textId="77777777" w:rsidR="00FF0942" w:rsidRPr="00FF0942" w:rsidRDefault="00FF0942" w:rsidP="00FF0942">
            <w:pPr>
              <w:numPr>
                <w:ilvl w:val="0"/>
                <w:numId w:val="1"/>
              </w:numPr>
              <w:spacing w:after="0" w:line="276" w:lineRule="auto"/>
              <w:jc w:val="both"/>
              <w:rPr>
                <w:sz w:val="22"/>
              </w:rPr>
            </w:pPr>
            <w:r w:rsidRPr="00FF0942">
              <w:rPr>
                <w:sz w:val="22"/>
              </w:rPr>
              <w:t xml:space="preserve">počet zaměstnanců v klíčových oborech </w:t>
            </w:r>
          </w:p>
          <w:p w14:paraId="5754F215" w14:textId="77777777" w:rsidR="00FF0942" w:rsidRPr="00FF0942" w:rsidRDefault="00FF0942" w:rsidP="00FF0942">
            <w:pPr>
              <w:numPr>
                <w:ilvl w:val="0"/>
                <w:numId w:val="1"/>
              </w:numPr>
              <w:spacing w:after="0" w:line="276" w:lineRule="auto"/>
              <w:jc w:val="both"/>
              <w:rPr>
                <w:sz w:val="22"/>
              </w:rPr>
            </w:pPr>
            <w:r w:rsidRPr="00FF0942">
              <w:rPr>
                <w:sz w:val="22"/>
              </w:rPr>
              <w:t>HDP vytvořené v klíčových oborech</w:t>
            </w:r>
          </w:p>
          <w:p w14:paraId="11E6100D" w14:textId="77777777" w:rsidR="00FF0942" w:rsidRPr="00FF0942" w:rsidRDefault="00FF0942" w:rsidP="00FF0942">
            <w:pPr>
              <w:numPr>
                <w:ilvl w:val="0"/>
                <w:numId w:val="1"/>
              </w:numPr>
              <w:spacing w:after="0" w:line="276" w:lineRule="auto"/>
              <w:jc w:val="both"/>
              <w:rPr>
                <w:sz w:val="22"/>
              </w:rPr>
            </w:pPr>
            <w:r w:rsidRPr="00FF0942">
              <w:rPr>
                <w:sz w:val="22"/>
              </w:rPr>
              <w:t>podíl VaV činnosti, spolupráce a výsledků VO ve specializačních doménách</w:t>
            </w:r>
            <w:r w:rsidRPr="00FF0942">
              <w:rPr>
                <w:sz w:val="22"/>
                <w:vertAlign w:val="superscript"/>
              </w:rPr>
              <w:footnoteReference w:id="2"/>
            </w:r>
          </w:p>
          <w:p w14:paraId="42028DF3" w14:textId="77777777" w:rsidR="00FF0942" w:rsidRPr="00FF0942" w:rsidRDefault="00FF0942" w:rsidP="00FF0942">
            <w:pPr>
              <w:numPr>
                <w:ilvl w:val="0"/>
                <w:numId w:val="1"/>
              </w:numPr>
              <w:spacing w:after="0" w:line="276" w:lineRule="auto"/>
              <w:jc w:val="both"/>
              <w:rPr>
                <w:sz w:val="22"/>
              </w:rPr>
            </w:pPr>
            <w:r w:rsidRPr="00FF0942">
              <w:rPr>
                <w:sz w:val="22"/>
              </w:rPr>
              <w:t>podíl firem, jejichž konkurenční výhoda je založena na inovacích</w:t>
            </w:r>
          </w:p>
          <w:p w14:paraId="77C803BA" w14:textId="770C8B33" w:rsidR="00267943" w:rsidRPr="00FF0942" w:rsidRDefault="00FF0942" w:rsidP="00FF0942">
            <w:pPr>
              <w:pStyle w:val="Odstavecseseznamem"/>
              <w:numPr>
                <w:ilvl w:val="0"/>
                <w:numId w:val="1"/>
              </w:numPr>
              <w:spacing w:after="0" w:line="276" w:lineRule="auto"/>
              <w:jc w:val="both"/>
              <w:rPr>
                <w:rFonts w:cs="Arial"/>
                <w:iCs/>
                <w:sz w:val="22"/>
              </w:rPr>
            </w:pPr>
            <w:r w:rsidRPr="00FF0942">
              <w:rPr>
                <w:sz w:val="22"/>
              </w:rPr>
              <w:t>počet výsledků VaV zavedených na trh</w:t>
            </w:r>
            <w:r w:rsidRPr="007B5ABE">
              <w:t xml:space="preserve">  </w:t>
            </w:r>
          </w:p>
        </w:tc>
      </w:tr>
      <w:tr w:rsidR="00267943" w:rsidRPr="0017795C" w14:paraId="5D01CFB8" w14:textId="77777777" w:rsidTr="00B5455F">
        <w:trPr>
          <w:trHeight w:val="328"/>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9E9B6F" w14:textId="77777777" w:rsidR="00267943" w:rsidRPr="0017795C" w:rsidRDefault="00267943" w:rsidP="00267943">
            <w:pPr>
              <w:spacing w:after="0"/>
              <w:rPr>
                <w:rFonts w:cs="Arial"/>
                <w:b/>
                <w:bCs/>
                <w:i/>
                <w:sz w:val="22"/>
              </w:rPr>
            </w:pPr>
            <w:r w:rsidRPr="0017795C">
              <w:rPr>
                <w:rFonts w:cs="Arial"/>
                <w:b/>
                <w:bCs/>
                <w:sz w:val="22"/>
              </w:rPr>
              <w:lastRenderedPageBreak/>
              <w:t xml:space="preserve">Název opatření/programu </w:t>
            </w:r>
          </w:p>
        </w:tc>
        <w:tc>
          <w:tcPr>
            <w:tcW w:w="73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BDE4DD" w14:textId="4A654684" w:rsidR="00267943" w:rsidRPr="00911361" w:rsidRDefault="00911361" w:rsidP="006A11C5">
            <w:pPr>
              <w:spacing w:after="0"/>
              <w:jc w:val="both"/>
              <w:rPr>
                <w:rFonts w:cs="Arial"/>
                <w:b/>
                <w:iCs/>
                <w:sz w:val="22"/>
              </w:rPr>
            </w:pPr>
            <w:r w:rsidRPr="00911361">
              <w:rPr>
                <w:sz w:val="22"/>
              </w:rPr>
              <w:t>Návrh komplexního projektu propojujícího v Ústeckém a Karlovarském kraji těžbu lithia a doprovodných kovů</w:t>
            </w:r>
          </w:p>
        </w:tc>
      </w:tr>
      <w:tr w:rsidR="00FF0942" w:rsidRPr="00267943" w14:paraId="5C3E8B0C" w14:textId="77777777" w:rsidTr="00B5455F">
        <w:trPr>
          <w:trHeight w:val="321"/>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AB317" w14:textId="77777777" w:rsidR="00FF0942" w:rsidRPr="0017795C" w:rsidRDefault="00FF0942" w:rsidP="00FF0942">
            <w:pPr>
              <w:spacing w:after="0"/>
              <w:rPr>
                <w:rFonts w:cs="Arial"/>
                <w:b/>
                <w:bCs/>
                <w:sz w:val="22"/>
              </w:rPr>
            </w:pPr>
            <w:r w:rsidRPr="0017795C">
              <w:rPr>
                <w:rFonts w:cs="Arial"/>
                <w:b/>
                <w:bCs/>
                <w:sz w:val="22"/>
              </w:rPr>
              <w:t>Zdůvodnění a popis programu</w:t>
            </w:r>
          </w:p>
          <w:p w14:paraId="49054CC0" w14:textId="77777777" w:rsidR="00FF0942" w:rsidRPr="0017795C" w:rsidRDefault="00FF0942" w:rsidP="00FF0942">
            <w:pPr>
              <w:spacing w:after="0"/>
              <w:rPr>
                <w:rFonts w:cs="Arial"/>
                <w:b/>
                <w:bCs/>
                <w:sz w:val="22"/>
                <w:shd w:val="pct15" w:color="auto" w:fill="FFFFFF"/>
              </w:rPr>
            </w:pPr>
          </w:p>
        </w:tc>
        <w:tc>
          <w:tcPr>
            <w:tcW w:w="73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16B838" w14:textId="77777777" w:rsidR="00FF0942" w:rsidRPr="00FF0942" w:rsidRDefault="00FF0942" w:rsidP="00FF0942">
            <w:pPr>
              <w:spacing w:after="120"/>
              <w:jc w:val="both"/>
              <w:rPr>
                <w:rFonts w:cs="Calibri"/>
                <w:bCs/>
                <w:sz w:val="22"/>
              </w:rPr>
            </w:pPr>
            <w:r w:rsidRPr="00FF0942">
              <w:rPr>
                <w:rFonts w:cs="Calibri"/>
                <w:bCs/>
                <w:sz w:val="22"/>
              </w:rPr>
              <w:t xml:space="preserve">Úkol: Připravit návrh programu propojujícího v Ústeckém kraji těžbu lithia a doprovodných kovů na ložisku Cínovec, zpracování koncentrátu na běžně prodejný poloprodukt a využití lithia a případně dalších kovů v inovativních firmách provádějících zároveň společně i aplikovaný výzkum týkající se vstupních surovin (lithium apod.) a produktů těchto firem. </w:t>
            </w:r>
          </w:p>
          <w:p w14:paraId="45A5FD15" w14:textId="77777777" w:rsidR="00FF0942" w:rsidRPr="00FF0942" w:rsidRDefault="00FF0942" w:rsidP="00FF0942">
            <w:pPr>
              <w:spacing w:after="120"/>
              <w:jc w:val="both"/>
              <w:rPr>
                <w:rFonts w:cs="Calibri"/>
                <w:bCs/>
                <w:sz w:val="22"/>
              </w:rPr>
            </w:pPr>
            <w:r w:rsidRPr="00FF0942">
              <w:rPr>
                <w:rFonts w:cs="Calibri"/>
                <w:bCs/>
                <w:sz w:val="22"/>
              </w:rPr>
              <w:t xml:space="preserve">V Cínovci v Krušných horách se nachází ložisko lithia se zásobami na území ČR kolem 565 mil t rudy (hlavním minerálem je </w:t>
            </w:r>
            <w:proofErr w:type="gramStart"/>
            <w:r w:rsidRPr="00FF0942">
              <w:rPr>
                <w:rFonts w:cs="Calibri"/>
                <w:bCs/>
                <w:sz w:val="22"/>
              </w:rPr>
              <w:t>cinvaldit - slída</w:t>
            </w:r>
            <w:proofErr w:type="gramEnd"/>
            <w:r w:rsidRPr="00FF0942">
              <w:rPr>
                <w:rFonts w:cs="Calibri"/>
                <w:bCs/>
                <w:sz w:val="22"/>
              </w:rPr>
              <w:t xml:space="preserve"> s obsahem Li) s obsahem Li</w:t>
            </w:r>
            <w:r w:rsidRPr="00FF0942">
              <w:rPr>
                <w:rFonts w:cs="Calibri"/>
                <w:bCs/>
                <w:sz w:val="22"/>
                <w:vertAlign w:val="subscript"/>
              </w:rPr>
              <w:t>2</w:t>
            </w:r>
            <w:r w:rsidRPr="00FF0942">
              <w:rPr>
                <w:rFonts w:cs="Calibri"/>
                <w:bCs/>
                <w:sz w:val="22"/>
              </w:rPr>
              <w:t xml:space="preserve">O v rudě 0,46 % (tj. cca 7 mil. t karbonátu lithia nebo 1,3 mil t kovového Li). Ložisko pokračuje přes hranice do SRN, kde se nachází další zásoby rudy zvyšující celkové zásoby ložiska o cca 1/3. Tyto parametry řadí ložisko Cínovec mezi ložiska lithia světového významu (v současnosti představuje celé ložisko Cínovec cca </w:t>
            </w:r>
            <w:proofErr w:type="gramStart"/>
            <w:r w:rsidRPr="00FF0942">
              <w:rPr>
                <w:rFonts w:cs="Calibri"/>
                <w:bCs/>
                <w:sz w:val="22"/>
              </w:rPr>
              <w:t>6%</w:t>
            </w:r>
            <w:proofErr w:type="gramEnd"/>
            <w:r w:rsidRPr="00FF0942">
              <w:rPr>
                <w:rFonts w:cs="Calibri"/>
                <w:bCs/>
                <w:sz w:val="22"/>
              </w:rPr>
              <w:t xml:space="preserve"> světových zásob lithia). Rudy dále obsahují menší množství cínu, wolframu, rubidia, cesia, niobu, tantalu, kovů vzácných zemin, skandia atd. Zásoby umožňují těžbu nejméně po dobu 3-4 století.</w:t>
            </w:r>
          </w:p>
          <w:p w14:paraId="0BEAE613" w14:textId="77777777" w:rsidR="00FF0942" w:rsidRPr="00FF0942" w:rsidRDefault="00FF0942" w:rsidP="00FF0942">
            <w:pPr>
              <w:spacing w:after="120"/>
              <w:jc w:val="both"/>
              <w:rPr>
                <w:rFonts w:cs="Calibri"/>
                <w:bCs/>
                <w:sz w:val="22"/>
              </w:rPr>
            </w:pPr>
            <w:r w:rsidRPr="00FF0942">
              <w:rPr>
                <w:rFonts w:cs="Calibri"/>
                <w:bCs/>
                <w:sz w:val="22"/>
              </w:rPr>
              <w:t>Dále se na Cínovci v rámci odstraňování starých ekologických zátěží připravuje těžba úpravárenských kalů z odkaliště bývalé úpravny cínového dolu, při níž bude získáváno též lithium. Zásoby suroviny na odkališti jsou 680 tis. t, což znamená 11130 tun uhličitanu lithného nebo 2600 tun kovového lithia. Tato těžba však bude trvat jen cca 6 let a bude zpočátku produkovat zřejmě jen koncentrát Li slíd, nikoliv karbonát lithia, protože pro toto množství suroviny se výstavba zpracovatelského závodu nevyplatí. Lze ale předpokládat, že pokud bude vybudován zpracovatelský závod na výrobu karbonátu lithia bateriové kvality v souvislosti s těžbou ložiska Cínovec, tak bude možné koncentrát Li slíd na karbonát zpracovávat v tomto závodu.</w:t>
            </w:r>
          </w:p>
          <w:p w14:paraId="4D891967" w14:textId="15FE5E4B" w:rsidR="00FF0942" w:rsidRPr="00FF0942" w:rsidRDefault="00FF0942" w:rsidP="00FF0942">
            <w:pPr>
              <w:spacing w:after="120"/>
              <w:jc w:val="both"/>
              <w:rPr>
                <w:rFonts w:cs="Calibri"/>
                <w:bCs/>
                <w:sz w:val="22"/>
              </w:rPr>
            </w:pPr>
            <w:r w:rsidRPr="00FF0942">
              <w:rPr>
                <w:rFonts w:cs="Calibri"/>
                <w:bCs/>
                <w:sz w:val="22"/>
              </w:rPr>
              <w:t xml:space="preserve">Lithium je prvek nezbytný pro výrobu </w:t>
            </w:r>
            <w:r w:rsidR="008F2B02" w:rsidRPr="00FF0942">
              <w:rPr>
                <w:rFonts w:cs="Calibri"/>
                <w:bCs/>
                <w:sz w:val="22"/>
              </w:rPr>
              <w:t>baterií,</w:t>
            </w:r>
            <w:r w:rsidRPr="00FF0942">
              <w:rPr>
                <w:rFonts w:cs="Calibri"/>
                <w:bCs/>
                <w:sz w:val="22"/>
              </w:rPr>
              <w:t xml:space="preserve"> a tedy pro jeden z velmi perspektivních způsobů ukládání elektřiny (ukládání elektřiny je jeden z hlavních problémů který v současné době </w:t>
            </w:r>
            <w:proofErr w:type="gramStart"/>
            <w:r w:rsidRPr="00FF0942">
              <w:rPr>
                <w:rFonts w:cs="Calibri"/>
                <w:bCs/>
                <w:sz w:val="22"/>
              </w:rPr>
              <w:t>řeší</w:t>
            </w:r>
            <w:proofErr w:type="gramEnd"/>
            <w:r w:rsidRPr="00FF0942">
              <w:rPr>
                <w:rFonts w:cs="Calibri"/>
                <w:bCs/>
                <w:sz w:val="22"/>
              </w:rPr>
              <w:t xml:space="preserve"> elektroenergetika a Li baterie jsou jedna z hlavních cest, jak bude tento problém řešen). Li baterie jsou také potřebné pro rozvoj elektromobility. Lithium je dále významné pro metalurgii lehkých slitin, keramiku a jadernou energetiku. </w:t>
            </w:r>
            <w:proofErr w:type="gramStart"/>
            <w:r w:rsidRPr="00FF0942">
              <w:rPr>
                <w:rFonts w:cs="Calibri"/>
                <w:bCs/>
                <w:sz w:val="22"/>
              </w:rPr>
              <w:t>Patří</w:t>
            </w:r>
            <w:proofErr w:type="gramEnd"/>
            <w:r w:rsidRPr="00FF0942">
              <w:rPr>
                <w:rFonts w:cs="Calibri"/>
                <w:bCs/>
                <w:sz w:val="22"/>
              </w:rPr>
              <w:t xml:space="preserve"> proto již nyní mezi velice významné průmyslové prvky a lze předpokládat, že poptávka po něm i nadále rychle poroste.</w:t>
            </w:r>
          </w:p>
          <w:p w14:paraId="1FA06E98" w14:textId="77777777" w:rsidR="00FF0942" w:rsidRPr="00FF0942" w:rsidRDefault="00FF0942" w:rsidP="00FF0942">
            <w:pPr>
              <w:spacing w:after="120"/>
              <w:jc w:val="both"/>
              <w:rPr>
                <w:rFonts w:cs="Calibri"/>
                <w:bCs/>
                <w:sz w:val="22"/>
              </w:rPr>
            </w:pPr>
            <w:r w:rsidRPr="00FF0942">
              <w:rPr>
                <w:rFonts w:cs="Calibri"/>
                <w:bCs/>
                <w:sz w:val="22"/>
              </w:rPr>
              <w:t xml:space="preserve">Také další kovy obsažené v rudách ložiska Cínovec jsou většinou prvky potřebné pro velmi speciální a sofistikované technologie, které lze </w:t>
            </w:r>
            <w:r w:rsidRPr="00FF0942">
              <w:rPr>
                <w:rFonts w:cs="Calibri"/>
                <w:bCs/>
                <w:sz w:val="22"/>
              </w:rPr>
              <w:lastRenderedPageBreak/>
              <w:t xml:space="preserve">zároveň považovat za velmi perspektivní (specializované strojírenství, elektronika, katalyzátory atd.). Některé z těchto prvků také </w:t>
            </w:r>
            <w:proofErr w:type="gramStart"/>
            <w:r w:rsidRPr="00FF0942">
              <w:rPr>
                <w:rFonts w:cs="Calibri"/>
                <w:bCs/>
                <w:sz w:val="22"/>
              </w:rPr>
              <w:t>patří</w:t>
            </w:r>
            <w:proofErr w:type="gramEnd"/>
            <w:r w:rsidRPr="00FF0942">
              <w:rPr>
                <w:rFonts w:cs="Calibri"/>
                <w:bCs/>
                <w:sz w:val="22"/>
              </w:rPr>
              <w:t xml:space="preserve"> mezi tzv. kritické suroviny EU, které jsou velmi důležité pro vybrané průmyslové výroby a technologie a EU prakticky nemá jejich vlastní zdroje. Jedná se o cín, wolfram, niob, scandium, tantal a vzácné zeminy. Dalšími prvky jsou rubidium a cesium, jichž mají státy EU také omezené zdroje, ale které </w:t>
            </w:r>
            <w:proofErr w:type="gramStart"/>
            <w:r w:rsidRPr="00FF0942">
              <w:rPr>
                <w:rFonts w:cs="Calibri"/>
                <w:bCs/>
                <w:sz w:val="22"/>
              </w:rPr>
              <w:t>nepatří</w:t>
            </w:r>
            <w:proofErr w:type="gramEnd"/>
            <w:r w:rsidRPr="00FF0942">
              <w:rPr>
                <w:rFonts w:cs="Calibri"/>
                <w:bCs/>
                <w:sz w:val="22"/>
              </w:rPr>
              <w:t xml:space="preserve"> mezi kritické suroviny EU. </w:t>
            </w:r>
          </w:p>
          <w:p w14:paraId="68BF7F74" w14:textId="77777777" w:rsidR="00FF0942" w:rsidRPr="00FF0942" w:rsidRDefault="00FF0942" w:rsidP="00FF0942">
            <w:pPr>
              <w:spacing w:after="120"/>
              <w:jc w:val="both"/>
              <w:rPr>
                <w:rFonts w:cs="Calibri"/>
                <w:bCs/>
                <w:sz w:val="22"/>
              </w:rPr>
            </w:pPr>
            <w:r w:rsidRPr="00FF0942">
              <w:rPr>
                <w:rFonts w:cs="Calibri"/>
                <w:bCs/>
                <w:sz w:val="22"/>
              </w:rPr>
              <w:t>Předpokládá se, že těžař vybuduje v souvislosti s ložiskem Cínovec nejen důl a úpravnu na zpracování rudy, ale také závod na výrobu obchodovatelného poloproduktu – karbonátu lithia. Tento závod by měl být také umístěn v Ústeckém kraji.</w:t>
            </w:r>
          </w:p>
          <w:p w14:paraId="158974DD" w14:textId="77777777" w:rsidR="00FF0942" w:rsidRPr="00FF0942" w:rsidRDefault="00FF0942" w:rsidP="00FF0942">
            <w:pPr>
              <w:spacing w:after="120"/>
              <w:jc w:val="both"/>
              <w:rPr>
                <w:rFonts w:cs="Calibri"/>
                <w:bCs/>
                <w:sz w:val="22"/>
              </w:rPr>
            </w:pPr>
            <w:r w:rsidRPr="00FF0942">
              <w:rPr>
                <w:rFonts w:cs="Calibri"/>
                <w:bCs/>
                <w:sz w:val="22"/>
              </w:rPr>
              <w:t xml:space="preserve">Očekává se, že v Ústeckém kraji bude k dispozici i z hlediska dopadů na životní prostředí přijatelný a dlouhodobý zdroj netradičních surovin včetně výrobní kapacity na produkci standardizovaného poloproduktu. </w:t>
            </w:r>
          </w:p>
          <w:p w14:paraId="5554EF17" w14:textId="1C9CD9AF" w:rsidR="00FF0942" w:rsidRPr="00FF0942" w:rsidRDefault="00FF0942" w:rsidP="00FF0942">
            <w:pPr>
              <w:spacing w:after="120"/>
              <w:jc w:val="both"/>
              <w:rPr>
                <w:rFonts w:cs="Calibri"/>
                <w:bCs/>
                <w:sz w:val="22"/>
              </w:rPr>
            </w:pPr>
            <w:r w:rsidRPr="00FF0942">
              <w:rPr>
                <w:rFonts w:cs="Calibri"/>
                <w:bCs/>
                <w:sz w:val="22"/>
              </w:rPr>
              <w:t xml:space="preserve">Je však potřebné, aby na tuto „produkční“ část komplexního projektu navázala část „výrobní“, tj. vybudování komplexu inovativních firem využívajících poloprodukty vzniklé v „produkční“ </w:t>
            </w:r>
            <w:r w:rsidR="008F2B02" w:rsidRPr="00FF0942">
              <w:rPr>
                <w:rFonts w:cs="Calibri"/>
                <w:bCs/>
                <w:sz w:val="22"/>
              </w:rPr>
              <w:t>části,</w:t>
            </w:r>
            <w:r w:rsidRPr="00FF0942">
              <w:rPr>
                <w:rFonts w:cs="Calibri"/>
                <w:bCs/>
                <w:sz w:val="22"/>
              </w:rPr>
              <w:t xml:space="preserve"> a to včetně související základny aplikovaného výzkumu. Pouze takováto komplexnost projektu, tj. zahrnutí celého řetězce od těžby až po výrobu konečného produktu a umístění celého tohoto řetězce na území kraje zajistí, aby prospěch z těžby suroviny a vzniklá přidaná hodnota zůstaly v kraji a neodplynuly jinam.</w:t>
            </w:r>
          </w:p>
          <w:p w14:paraId="36653706" w14:textId="77777777" w:rsidR="00FF0942" w:rsidRPr="00FF0942" w:rsidRDefault="00FF0942" w:rsidP="00FF0942">
            <w:pPr>
              <w:spacing w:after="0"/>
              <w:jc w:val="both"/>
              <w:rPr>
                <w:rFonts w:cs="Calibri"/>
                <w:bCs/>
                <w:sz w:val="22"/>
              </w:rPr>
            </w:pPr>
            <w:r w:rsidRPr="00FF0942">
              <w:rPr>
                <w:rFonts w:cs="Calibri"/>
                <w:bCs/>
                <w:sz w:val="22"/>
              </w:rPr>
              <w:t xml:space="preserve">Předmětem opatření je návrh programu, který </w:t>
            </w:r>
            <w:proofErr w:type="gramStart"/>
            <w:r w:rsidRPr="00FF0942">
              <w:rPr>
                <w:rFonts w:cs="Calibri"/>
                <w:bCs/>
                <w:sz w:val="22"/>
              </w:rPr>
              <w:t>zvýší</w:t>
            </w:r>
            <w:proofErr w:type="gramEnd"/>
            <w:r w:rsidRPr="00FF0942">
              <w:rPr>
                <w:rFonts w:cs="Calibri"/>
                <w:bCs/>
                <w:sz w:val="22"/>
              </w:rPr>
              <w:t xml:space="preserve"> význam těžby a zpracování lithia a dalších prvků v Ústeckém kraji tím, že se zde podpoří vznik dalších výrobních, výzkumných a obslužných aktivit navázaných na těžbu lithia. Předmětem opatření je tedy: </w:t>
            </w:r>
          </w:p>
          <w:p w14:paraId="63FCA9B5" w14:textId="77777777" w:rsidR="00FF0942" w:rsidRPr="00FF0942" w:rsidRDefault="00FF0942" w:rsidP="002E4092">
            <w:pPr>
              <w:numPr>
                <w:ilvl w:val="0"/>
                <w:numId w:val="14"/>
              </w:numPr>
              <w:spacing w:after="0" w:line="276" w:lineRule="auto"/>
              <w:jc w:val="both"/>
              <w:rPr>
                <w:rFonts w:cs="Calibri"/>
                <w:bCs/>
                <w:sz w:val="22"/>
              </w:rPr>
            </w:pPr>
            <w:r w:rsidRPr="00FF0942">
              <w:rPr>
                <w:rFonts w:cs="Calibri"/>
                <w:bCs/>
                <w:sz w:val="22"/>
              </w:rPr>
              <w:t>připravit strategii získávání investorů, resp. strategii rozvoje hodnotových/produkčních řetězců vázaných na těžbu lithia v ČR, a přednostně v Ústeckém kraji</w:t>
            </w:r>
          </w:p>
          <w:p w14:paraId="6F077E5C" w14:textId="0F64FFC5" w:rsidR="00FF0942" w:rsidRPr="00FF0942" w:rsidRDefault="00FF0942" w:rsidP="002E4092">
            <w:pPr>
              <w:numPr>
                <w:ilvl w:val="0"/>
                <w:numId w:val="14"/>
              </w:numPr>
              <w:spacing w:after="0" w:line="276" w:lineRule="auto"/>
              <w:jc w:val="both"/>
              <w:rPr>
                <w:rFonts w:cs="Calibri"/>
                <w:bCs/>
                <w:sz w:val="22"/>
              </w:rPr>
            </w:pPr>
            <w:r w:rsidRPr="00FF0942">
              <w:rPr>
                <w:rFonts w:cs="Calibri"/>
                <w:bCs/>
                <w:sz w:val="22"/>
              </w:rPr>
              <w:t xml:space="preserve">připravit analýzu možností využití lithia pro jiné </w:t>
            </w:r>
            <w:r w:rsidR="008F2B02" w:rsidRPr="00FF0942">
              <w:rPr>
                <w:rFonts w:cs="Calibri"/>
                <w:bCs/>
                <w:sz w:val="22"/>
              </w:rPr>
              <w:t>výroby,</w:t>
            </w:r>
            <w:r w:rsidRPr="00FF0942">
              <w:rPr>
                <w:rFonts w:cs="Calibri"/>
                <w:bCs/>
                <w:sz w:val="22"/>
              </w:rPr>
              <w:t xml:space="preserve"> než je výroba baterií</w:t>
            </w:r>
          </w:p>
          <w:p w14:paraId="0D87880F" w14:textId="77777777" w:rsidR="00FF0942" w:rsidRPr="00FF0942" w:rsidRDefault="00FF0942" w:rsidP="002E4092">
            <w:pPr>
              <w:numPr>
                <w:ilvl w:val="0"/>
                <w:numId w:val="14"/>
              </w:numPr>
              <w:spacing w:after="0" w:line="276" w:lineRule="auto"/>
              <w:jc w:val="both"/>
              <w:rPr>
                <w:rFonts w:cs="Calibri"/>
                <w:bCs/>
                <w:sz w:val="22"/>
              </w:rPr>
            </w:pPr>
            <w:r w:rsidRPr="00FF0942">
              <w:rPr>
                <w:rFonts w:cs="Calibri"/>
                <w:bCs/>
                <w:sz w:val="22"/>
              </w:rPr>
              <w:t xml:space="preserve">připravit analýzu možností využití dalších prvků, nacházejících se na ložisku Cínovec, pro využití v různých aplikacích. </w:t>
            </w:r>
          </w:p>
          <w:p w14:paraId="237B6C03" w14:textId="77777777" w:rsidR="00FF0942" w:rsidRPr="00FF0942" w:rsidRDefault="00FF0942" w:rsidP="00FF0942">
            <w:pPr>
              <w:spacing w:after="0"/>
              <w:ind w:left="720"/>
              <w:jc w:val="both"/>
              <w:rPr>
                <w:rFonts w:cs="Calibri"/>
                <w:bCs/>
                <w:sz w:val="22"/>
              </w:rPr>
            </w:pPr>
            <w:r w:rsidRPr="00FF0942">
              <w:rPr>
                <w:rFonts w:cs="Calibri"/>
                <w:bCs/>
                <w:sz w:val="22"/>
              </w:rPr>
              <w:t xml:space="preserve">Především a v první řadě pak: </w:t>
            </w:r>
          </w:p>
          <w:p w14:paraId="50EB6A48" w14:textId="77777777" w:rsidR="00FF0942" w:rsidRPr="00FF0942" w:rsidRDefault="00FF0942" w:rsidP="002E4092">
            <w:pPr>
              <w:numPr>
                <w:ilvl w:val="1"/>
                <w:numId w:val="14"/>
              </w:numPr>
              <w:spacing w:after="120" w:line="276" w:lineRule="auto"/>
              <w:jc w:val="both"/>
              <w:rPr>
                <w:rFonts w:cs="Calibri"/>
                <w:bCs/>
                <w:sz w:val="22"/>
              </w:rPr>
            </w:pPr>
            <w:r w:rsidRPr="00FF0942">
              <w:rPr>
                <w:rFonts w:cs="Calibri"/>
                <w:bCs/>
                <w:sz w:val="22"/>
              </w:rPr>
              <w:t>vyvinutí postupů a technologií na získávání dalších cenných kovů (Rb, Cs, Nb, Ta, Sc, TR atd) z cínoveckých rud tak, aby byly využity všechny dostupné významné minerály obsažené v těžené rudě</w:t>
            </w:r>
          </w:p>
          <w:p w14:paraId="72593906" w14:textId="77777777" w:rsidR="00FF0942" w:rsidRPr="00FF0942" w:rsidRDefault="00FF0942" w:rsidP="002E4092">
            <w:pPr>
              <w:numPr>
                <w:ilvl w:val="1"/>
                <w:numId w:val="14"/>
              </w:numPr>
              <w:spacing w:after="120" w:line="276" w:lineRule="auto"/>
              <w:jc w:val="both"/>
              <w:rPr>
                <w:rFonts w:cs="Calibri"/>
                <w:bCs/>
                <w:sz w:val="22"/>
              </w:rPr>
            </w:pPr>
            <w:r w:rsidRPr="00FF0942">
              <w:rPr>
                <w:rFonts w:cs="Calibri"/>
                <w:bCs/>
                <w:sz w:val="22"/>
              </w:rPr>
              <w:t>výzkum a vývoj uplatnění těchto kovů ve specializovaných výrobách a produktech</w:t>
            </w:r>
          </w:p>
          <w:p w14:paraId="63ED9875" w14:textId="77777777" w:rsidR="00FF0942" w:rsidRPr="00FF0942" w:rsidRDefault="00FF0942" w:rsidP="002E4092">
            <w:pPr>
              <w:numPr>
                <w:ilvl w:val="0"/>
                <w:numId w:val="14"/>
              </w:numPr>
              <w:spacing w:after="120" w:line="276" w:lineRule="auto"/>
              <w:jc w:val="both"/>
              <w:rPr>
                <w:rFonts w:cs="Calibri"/>
                <w:bCs/>
                <w:sz w:val="22"/>
              </w:rPr>
            </w:pPr>
            <w:r w:rsidRPr="00FF0942">
              <w:rPr>
                <w:rFonts w:cs="Calibri"/>
                <w:bCs/>
                <w:sz w:val="22"/>
              </w:rPr>
              <w:t xml:space="preserve">připravit návrh výzkumného programu (facilitovat přípravu takového návrhu), který by se zabýval </w:t>
            </w:r>
          </w:p>
          <w:p w14:paraId="2CFEB552" w14:textId="77777777" w:rsidR="00FF0942" w:rsidRPr="00FF0942" w:rsidRDefault="00FF0942" w:rsidP="002E4092">
            <w:pPr>
              <w:numPr>
                <w:ilvl w:val="1"/>
                <w:numId w:val="14"/>
              </w:numPr>
              <w:spacing w:after="0" w:line="276" w:lineRule="auto"/>
              <w:jc w:val="both"/>
              <w:rPr>
                <w:rFonts w:cs="Calibri"/>
                <w:bCs/>
                <w:sz w:val="22"/>
              </w:rPr>
            </w:pPr>
            <w:r w:rsidRPr="00FF0942">
              <w:rPr>
                <w:rFonts w:cs="Calibri"/>
                <w:bCs/>
                <w:sz w:val="22"/>
              </w:rPr>
              <w:t>možnostmi využívání dalších prvků, které je možné získat při těžbě lithia</w:t>
            </w:r>
          </w:p>
          <w:p w14:paraId="427EC515" w14:textId="77777777" w:rsidR="00FF0942" w:rsidRPr="00FF0942" w:rsidRDefault="00FF0942" w:rsidP="002E4092">
            <w:pPr>
              <w:numPr>
                <w:ilvl w:val="1"/>
                <w:numId w:val="14"/>
              </w:numPr>
              <w:spacing w:after="0" w:line="276" w:lineRule="auto"/>
              <w:jc w:val="both"/>
              <w:rPr>
                <w:rFonts w:cs="Calibri"/>
                <w:bCs/>
                <w:sz w:val="22"/>
              </w:rPr>
            </w:pPr>
            <w:r w:rsidRPr="00FF0942">
              <w:rPr>
                <w:rFonts w:cs="Calibri"/>
                <w:bCs/>
                <w:sz w:val="22"/>
              </w:rPr>
              <w:t>výzkumem a vývojem v oblasti Li baterií</w:t>
            </w:r>
          </w:p>
          <w:p w14:paraId="145B9C9C" w14:textId="77777777" w:rsidR="00FF0942" w:rsidRPr="00FF0942" w:rsidRDefault="00FF0942" w:rsidP="002E4092">
            <w:pPr>
              <w:numPr>
                <w:ilvl w:val="1"/>
                <w:numId w:val="14"/>
              </w:numPr>
              <w:spacing w:after="0" w:line="276" w:lineRule="auto"/>
              <w:jc w:val="both"/>
              <w:rPr>
                <w:rFonts w:cs="Calibri"/>
                <w:bCs/>
                <w:sz w:val="22"/>
              </w:rPr>
            </w:pPr>
            <w:r w:rsidRPr="00FF0942">
              <w:rPr>
                <w:rFonts w:cs="Calibri"/>
                <w:bCs/>
                <w:sz w:val="22"/>
              </w:rPr>
              <w:lastRenderedPageBreak/>
              <w:t>dalšími možnostmi využití lithia včetně výzkumu produkce karbonátu lithia případně dalších poloproduktů tak, aby vyhovovaly požadavkům těchto navazujících využití</w:t>
            </w:r>
          </w:p>
          <w:p w14:paraId="1993C851" w14:textId="77777777" w:rsidR="00FF0942" w:rsidRPr="00FF0942" w:rsidRDefault="00FF0942" w:rsidP="00FF0942">
            <w:pPr>
              <w:spacing w:before="240" w:after="120"/>
              <w:jc w:val="both"/>
              <w:rPr>
                <w:rFonts w:cs="Calibri"/>
                <w:bCs/>
                <w:sz w:val="22"/>
              </w:rPr>
            </w:pPr>
            <w:r w:rsidRPr="00FF0942">
              <w:rPr>
                <w:rFonts w:cs="Calibri"/>
                <w:bCs/>
                <w:sz w:val="22"/>
              </w:rPr>
              <w:t>Možné bezprostřední příležitosti pro navazující výroby mohou být např. uvažovaná investice společnosti Tesla v ČR (výroba baterií pro elektromobily); výstavba závodu na výrobu Li-baterií především pro energetiku společnosti HE3DA, která zahájila poloprovozní výrobu těchto baterií v Praze Letňanech a zahajuje výstavbu většího závodu v Horní Suché v Moravskoslezském kraji. Společnost také začíná připravovat výstavby velké továrny v Moravskoslezském kraji a dle vyjádření zástupců společnosti je společnost HE3DA připravena zahájit přípravu výstavby velké továrny také v Ústeckém kraji jako součásti komplexního Li projektu.</w:t>
            </w:r>
          </w:p>
          <w:p w14:paraId="3A4AA23B" w14:textId="55789561" w:rsidR="00FF0942" w:rsidRPr="00FF0942" w:rsidRDefault="00FF0942" w:rsidP="00FF0942">
            <w:pPr>
              <w:pStyle w:val="Odstavecseseznamem"/>
              <w:spacing w:after="0"/>
              <w:ind w:left="0"/>
              <w:jc w:val="both"/>
              <w:rPr>
                <w:rFonts w:eastAsia="Times New Roman" w:cs="Arial"/>
                <w:b/>
                <w:bCs/>
                <w:color w:val="000000"/>
                <w:sz w:val="22"/>
                <w:lang w:eastAsia="cs-CZ"/>
              </w:rPr>
            </w:pPr>
            <w:r w:rsidRPr="00FF0942">
              <w:rPr>
                <w:rFonts w:cs="Calibri"/>
                <w:bCs/>
                <w:sz w:val="22"/>
              </w:rPr>
              <w:t>Klíčové je navázat na probíhající jednání se zájemci o strategické investiční partnerství i z ČR a strategičtí investoři z ČR budou pravděpodobně preferováni.</w:t>
            </w:r>
          </w:p>
        </w:tc>
      </w:tr>
      <w:tr w:rsidR="00267943" w:rsidRPr="00267943" w14:paraId="0901B35D" w14:textId="77777777" w:rsidTr="00B5455F">
        <w:trPr>
          <w:trHeight w:val="454"/>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692E7D" w14:textId="77777777" w:rsidR="00267943" w:rsidRPr="0017795C" w:rsidRDefault="00267943" w:rsidP="00267943">
            <w:pPr>
              <w:spacing w:after="0"/>
              <w:rPr>
                <w:rFonts w:cs="Arial"/>
                <w:b/>
                <w:bCs/>
                <w:sz w:val="22"/>
              </w:rPr>
            </w:pPr>
            <w:r w:rsidRPr="0017795C">
              <w:rPr>
                <w:rFonts w:cs="Arial"/>
                <w:b/>
                <w:bCs/>
                <w:sz w:val="22"/>
              </w:rPr>
              <w:lastRenderedPageBreak/>
              <w:t>Cíl programu/opatření</w:t>
            </w:r>
          </w:p>
        </w:tc>
        <w:tc>
          <w:tcPr>
            <w:tcW w:w="73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295729" w14:textId="2D5E9190" w:rsidR="00267943" w:rsidRPr="00FF0942" w:rsidRDefault="00FF0942" w:rsidP="007B68ED">
            <w:pPr>
              <w:spacing w:after="0" w:line="276" w:lineRule="auto"/>
              <w:jc w:val="both"/>
              <w:rPr>
                <w:rFonts w:cs="Arial"/>
                <w:bCs/>
                <w:iCs/>
                <w:sz w:val="22"/>
              </w:rPr>
            </w:pPr>
            <w:r w:rsidRPr="00FF0942">
              <w:rPr>
                <w:rFonts w:cs="Calibri"/>
                <w:bCs/>
                <w:sz w:val="22"/>
              </w:rPr>
              <w:t xml:space="preserve">Cílem programu je podpořit/facilitovat v Ústeckém kraji vznik nového produkčního/hodnotového řetězce, který bude založen na využívání lithia. Získání aktivit s vysokou přidanou hodnotou, které budou navazovat na těžbu, pomůže kraji proměnit strukturu hospodářství. Návazné výroby </w:t>
            </w:r>
            <w:proofErr w:type="gramStart"/>
            <w:r w:rsidRPr="00FF0942">
              <w:rPr>
                <w:rFonts w:cs="Calibri"/>
                <w:bCs/>
                <w:sz w:val="22"/>
              </w:rPr>
              <w:t>udrží</w:t>
            </w:r>
            <w:proofErr w:type="gramEnd"/>
            <w:r w:rsidRPr="00FF0942">
              <w:rPr>
                <w:rFonts w:cs="Calibri"/>
                <w:bCs/>
                <w:sz w:val="22"/>
              </w:rPr>
              <w:t xml:space="preserve"> větší podíl přidané hodnoty v kraji a jako vedlejší dopad přispějí k proměně jeho image z kraje těžebního (kteroužto image bude těžba a zpracování lithia naopak posilovat) na kraj moderních výrob.   </w:t>
            </w:r>
          </w:p>
        </w:tc>
      </w:tr>
      <w:tr w:rsidR="00267943" w:rsidRPr="00267943" w14:paraId="1F7DAB83" w14:textId="77777777" w:rsidTr="00B5455F">
        <w:trPr>
          <w:trHeight w:val="520"/>
        </w:trPr>
        <w:tc>
          <w:tcPr>
            <w:tcW w:w="26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4AA6D1" w14:textId="77777777" w:rsidR="00267943" w:rsidRPr="0017795C" w:rsidRDefault="00267943" w:rsidP="00267943">
            <w:pPr>
              <w:spacing w:after="0"/>
              <w:rPr>
                <w:rFonts w:cs="Arial"/>
                <w:b/>
                <w:bCs/>
                <w:sz w:val="22"/>
              </w:rPr>
            </w:pPr>
            <w:r w:rsidRPr="0017795C">
              <w:rPr>
                <w:rFonts w:cs="Arial"/>
                <w:b/>
                <w:bCs/>
                <w:sz w:val="22"/>
              </w:rPr>
              <w:t>Provázanost, propojení s dalšími opatřeními</w:t>
            </w:r>
          </w:p>
        </w:tc>
        <w:tc>
          <w:tcPr>
            <w:tcW w:w="730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EE63F6" w14:textId="2A84604B" w:rsidR="00267943" w:rsidRPr="00267943" w:rsidRDefault="00267943" w:rsidP="00267943">
            <w:pPr>
              <w:spacing w:after="0"/>
              <w:jc w:val="both"/>
              <w:rPr>
                <w:rFonts w:cs="Arial"/>
                <w:iCs/>
                <w:sz w:val="22"/>
              </w:rPr>
            </w:pPr>
          </w:p>
        </w:tc>
      </w:tr>
      <w:tr w:rsidR="009A7EFF" w:rsidRPr="0017795C" w14:paraId="518891AF" w14:textId="77777777" w:rsidTr="00B5455F">
        <w:trPr>
          <w:trHeight w:val="306"/>
        </w:trPr>
        <w:tc>
          <w:tcPr>
            <w:tcW w:w="2651"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297D95" w14:textId="77777777" w:rsidR="009A7EFF" w:rsidRPr="0017795C" w:rsidRDefault="009A7EFF" w:rsidP="009B0CCC">
            <w:pPr>
              <w:spacing w:after="0"/>
              <w:rPr>
                <w:rFonts w:cs="Arial"/>
                <w:b/>
                <w:bCs/>
                <w:sz w:val="22"/>
              </w:rPr>
            </w:pPr>
            <w:r w:rsidRPr="0017795C">
              <w:rPr>
                <w:rFonts w:cs="Arial"/>
                <w:b/>
                <w:bCs/>
                <w:sz w:val="22"/>
              </w:rPr>
              <w:t>Předpoklad doby realizace opatření*</w:t>
            </w:r>
          </w:p>
        </w:tc>
        <w:tc>
          <w:tcPr>
            <w:tcW w:w="3447"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C3916C" w14:textId="77777777" w:rsidR="009A7EFF" w:rsidRPr="0017795C" w:rsidRDefault="009A7EFF" w:rsidP="009B0CCC">
            <w:pPr>
              <w:spacing w:after="0"/>
              <w:rPr>
                <w:rFonts w:cs="Arial"/>
                <w:b/>
                <w:bCs/>
                <w:sz w:val="22"/>
              </w:rPr>
            </w:pPr>
            <w:r w:rsidRPr="0017795C">
              <w:rPr>
                <w:rFonts w:cs="Arial"/>
                <w:b/>
                <w:bCs/>
                <w:sz w:val="22"/>
              </w:rPr>
              <w:t>Od</w:t>
            </w:r>
            <w:r>
              <w:rPr>
                <w:rFonts w:cs="Arial"/>
                <w:b/>
                <w:bCs/>
                <w:sz w:val="22"/>
              </w:rPr>
              <w:t xml:space="preserve"> </w:t>
            </w:r>
          </w:p>
        </w:tc>
        <w:tc>
          <w:tcPr>
            <w:tcW w:w="385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AEC356" w14:textId="77777777" w:rsidR="009A7EFF" w:rsidRPr="0017795C" w:rsidRDefault="009A7EFF" w:rsidP="009B0CCC">
            <w:pPr>
              <w:spacing w:after="0"/>
              <w:rPr>
                <w:rFonts w:cs="Arial"/>
                <w:b/>
                <w:bCs/>
                <w:sz w:val="22"/>
              </w:rPr>
            </w:pPr>
            <w:r w:rsidRPr="0017795C">
              <w:rPr>
                <w:rFonts w:cs="Arial"/>
                <w:b/>
                <w:bCs/>
                <w:sz w:val="22"/>
              </w:rPr>
              <w:t>Do</w:t>
            </w:r>
          </w:p>
        </w:tc>
      </w:tr>
      <w:tr w:rsidR="009A7EFF" w:rsidRPr="0017795C" w14:paraId="55719AE7" w14:textId="77777777" w:rsidTr="00BE2297">
        <w:trPr>
          <w:trHeight w:val="306"/>
        </w:trPr>
        <w:tc>
          <w:tcPr>
            <w:tcW w:w="2651" w:type="dxa"/>
            <w:vMerge/>
            <w:tcBorders>
              <w:bottom w:val="single" w:sz="18" w:space="0" w:color="000001"/>
            </w:tcBorders>
            <w:tcMar>
              <w:left w:w="108" w:type="dxa"/>
            </w:tcMar>
          </w:tcPr>
          <w:p w14:paraId="7F49BF70" w14:textId="77777777" w:rsidR="009A7EFF" w:rsidRPr="0017795C" w:rsidRDefault="009A7EFF" w:rsidP="009B0CCC">
            <w:pPr>
              <w:spacing w:after="0"/>
              <w:rPr>
                <w:rFonts w:cs="Arial"/>
                <w:b/>
                <w:bCs/>
                <w:sz w:val="22"/>
              </w:rPr>
            </w:pPr>
          </w:p>
        </w:tc>
        <w:tc>
          <w:tcPr>
            <w:tcW w:w="3447" w:type="dxa"/>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4B4215DC" w14:textId="2730E6AE" w:rsidR="009A7EFF" w:rsidRPr="00650141" w:rsidRDefault="009A7EFF" w:rsidP="009B0CCC">
            <w:pPr>
              <w:spacing w:after="0"/>
              <w:rPr>
                <w:rFonts w:cs="Arial"/>
                <w:bCs/>
                <w:sz w:val="22"/>
              </w:rPr>
            </w:pPr>
            <w:r w:rsidRPr="00650141">
              <w:rPr>
                <w:rFonts w:cs="Arial"/>
                <w:bCs/>
                <w:sz w:val="22"/>
              </w:rPr>
              <w:t>20</w:t>
            </w:r>
            <w:r w:rsidR="00FF0942">
              <w:rPr>
                <w:rFonts w:cs="Arial"/>
                <w:bCs/>
                <w:sz w:val="22"/>
              </w:rPr>
              <w:t>18</w:t>
            </w:r>
          </w:p>
        </w:tc>
        <w:tc>
          <w:tcPr>
            <w:tcW w:w="3854" w:type="dxa"/>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414D8199" w14:textId="1C79D565" w:rsidR="009A7EFF" w:rsidRPr="00650141" w:rsidRDefault="009A7EFF" w:rsidP="009B0CCC">
            <w:pPr>
              <w:spacing w:after="0"/>
              <w:rPr>
                <w:rFonts w:cs="Arial"/>
                <w:bCs/>
                <w:sz w:val="22"/>
              </w:rPr>
            </w:pPr>
            <w:r w:rsidRPr="00BE2297">
              <w:rPr>
                <w:rFonts w:cs="Arial"/>
                <w:bCs/>
                <w:color w:val="FF0000"/>
                <w:sz w:val="22"/>
              </w:rPr>
              <w:t>202</w:t>
            </w:r>
            <w:r w:rsidR="00BE2297" w:rsidRPr="00BE2297">
              <w:rPr>
                <w:rFonts w:cs="Arial"/>
                <w:bCs/>
                <w:color w:val="FF0000"/>
                <w:sz w:val="22"/>
              </w:rPr>
              <w:t>8</w:t>
            </w:r>
          </w:p>
        </w:tc>
      </w:tr>
      <w:tr w:rsidR="009A7EFF" w:rsidRPr="0017795C" w14:paraId="3C0207F6" w14:textId="77777777" w:rsidTr="00BE2297">
        <w:trPr>
          <w:trHeight w:val="202"/>
        </w:trPr>
        <w:tc>
          <w:tcPr>
            <w:tcW w:w="2651" w:type="dxa"/>
            <w:vMerge w:val="restart"/>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2508556" w14:textId="77777777" w:rsidR="009A7EFF" w:rsidRPr="0017795C" w:rsidRDefault="009A7EFF" w:rsidP="009B0CCC">
            <w:pPr>
              <w:spacing w:after="0"/>
              <w:rPr>
                <w:rFonts w:cs="Arial"/>
                <w:b/>
                <w:bCs/>
                <w:sz w:val="22"/>
              </w:rPr>
            </w:pPr>
            <w:r w:rsidRPr="0017795C">
              <w:rPr>
                <w:rFonts w:cs="Arial"/>
                <w:b/>
                <w:bCs/>
                <w:sz w:val="22"/>
              </w:rPr>
              <w:t xml:space="preserve">Odpovědnost za realizaci = nositel opatření/programu </w:t>
            </w:r>
          </w:p>
        </w:tc>
        <w:tc>
          <w:tcPr>
            <w:tcW w:w="7301" w:type="dxa"/>
            <w:gridSpan w:val="2"/>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617D98E" w14:textId="77777777" w:rsidR="009A7EFF" w:rsidRPr="00650141" w:rsidRDefault="009A7EFF" w:rsidP="009B0CCC">
            <w:pPr>
              <w:spacing w:after="0"/>
              <w:rPr>
                <w:rFonts w:cs="Arial"/>
                <w:b/>
                <w:bCs/>
                <w:sz w:val="22"/>
              </w:rPr>
            </w:pPr>
            <w:r w:rsidRPr="00650141">
              <w:rPr>
                <w:rFonts w:cs="Arial"/>
                <w:b/>
                <w:bCs/>
                <w:sz w:val="22"/>
              </w:rPr>
              <w:t>Organizace</w:t>
            </w:r>
          </w:p>
        </w:tc>
      </w:tr>
      <w:tr w:rsidR="009A7EFF" w:rsidRPr="0017795C" w14:paraId="27BD6348" w14:textId="77777777" w:rsidTr="00BE2297">
        <w:trPr>
          <w:trHeight w:val="452"/>
        </w:trPr>
        <w:tc>
          <w:tcPr>
            <w:tcW w:w="2651" w:type="dxa"/>
            <w:vMerge/>
            <w:tcBorders>
              <w:bottom w:val="single" w:sz="18" w:space="0" w:color="000001"/>
            </w:tcBorders>
            <w:tcMar>
              <w:left w:w="108" w:type="dxa"/>
            </w:tcMar>
          </w:tcPr>
          <w:p w14:paraId="34F83E03" w14:textId="77777777" w:rsidR="009A7EFF" w:rsidRPr="0017795C" w:rsidRDefault="009A7EFF" w:rsidP="009B0CCC">
            <w:pPr>
              <w:spacing w:after="0"/>
              <w:rPr>
                <w:rFonts w:cs="Arial"/>
                <w:b/>
                <w:bCs/>
                <w:sz w:val="22"/>
              </w:rPr>
            </w:pPr>
          </w:p>
        </w:tc>
        <w:tc>
          <w:tcPr>
            <w:tcW w:w="7301" w:type="dxa"/>
            <w:gridSpan w:val="2"/>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04C57F9D" w14:textId="5CBD041E" w:rsidR="009A7EFF" w:rsidRPr="00650141" w:rsidRDefault="00BE2297" w:rsidP="00267943">
            <w:pPr>
              <w:spacing w:after="0" w:line="276" w:lineRule="auto"/>
              <w:jc w:val="both"/>
              <w:rPr>
                <w:rFonts w:eastAsia="Times New Roman" w:cs="Arial"/>
                <w:iCs/>
                <w:sz w:val="22"/>
                <w:lang w:eastAsia="cs-CZ"/>
              </w:rPr>
            </w:pPr>
            <w:r>
              <w:rPr>
                <w:rFonts w:cs="Arial"/>
                <w:bCs/>
                <w:iCs/>
                <w:sz w:val="22"/>
              </w:rPr>
              <w:t xml:space="preserve">MPO, </w:t>
            </w:r>
            <w:r w:rsidRPr="00BE2297">
              <w:rPr>
                <w:rFonts w:cs="Arial"/>
                <w:bCs/>
                <w:iCs/>
                <w:color w:val="FF0000"/>
                <w:sz w:val="22"/>
              </w:rPr>
              <w:t>MŽP</w:t>
            </w:r>
          </w:p>
        </w:tc>
      </w:tr>
      <w:tr w:rsidR="00BE2297" w:rsidRPr="0017795C" w14:paraId="67986601" w14:textId="77777777" w:rsidTr="00BE2297">
        <w:trPr>
          <w:trHeight w:val="684"/>
        </w:trPr>
        <w:tc>
          <w:tcPr>
            <w:tcW w:w="2651" w:type="dxa"/>
            <w:vMerge w:val="restart"/>
            <w:tcBorders>
              <w:top w:val="single" w:sz="18" w:space="0" w:color="000001"/>
              <w:left w:val="single" w:sz="4" w:space="0" w:color="000001"/>
              <w:right w:val="single" w:sz="4" w:space="0" w:color="000001"/>
            </w:tcBorders>
            <w:shd w:val="clear" w:color="auto" w:fill="auto"/>
            <w:tcMar>
              <w:left w:w="108" w:type="dxa"/>
            </w:tcMar>
          </w:tcPr>
          <w:p w14:paraId="68C3F3F0" w14:textId="77777777" w:rsidR="00BE2297" w:rsidRPr="0017795C" w:rsidRDefault="00BE2297" w:rsidP="00BE2297">
            <w:pPr>
              <w:spacing w:after="0"/>
              <w:rPr>
                <w:rFonts w:cs="Arial"/>
                <w:b/>
                <w:bCs/>
                <w:sz w:val="22"/>
              </w:rPr>
            </w:pPr>
            <w:r w:rsidRPr="0017795C">
              <w:rPr>
                <w:rFonts w:cs="Arial"/>
                <w:b/>
                <w:bCs/>
                <w:sz w:val="22"/>
              </w:rPr>
              <w:t>Rozpočet (odhad)</w:t>
            </w:r>
          </w:p>
          <w:p w14:paraId="5677894F" w14:textId="407239AB" w:rsidR="00BE2297" w:rsidRPr="0017795C" w:rsidRDefault="00BE2297" w:rsidP="00BE2297">
            <w:pPr>
              <w:spacing w:after="0"/>
              <w:rPr>
                <w:rFonts w:cs="Arial"/>
                <w:b/>
                <w:bCs/>
                <w:sz w:val="22"/>
              </w:rPr>
            </w:pPr>
            <w:r w:rsidRPr="0017795C">
              <w:rPr>
                <w:rFonts w:cs="Arial"/>
                <w:bCs/>
                <w:i/>
                <w:sz w:val="22"/>
              </w:rPr>
              <w:t>na realizaci nebo na přípravu v případě, kdy se opatření připravuje pro další akční plán</w:t>
            </w:r>
            <w:r w:rsidRPr="0017795C">
              <w:rPr>
                <w:rFonts w:cs="Arial"/>
                <w:bCs/>
                <w:sz w:val="22"/>
              </w:rPr>
              <w:t> </w:t>
            </w:r>
            <w:r w:rsidRPr="0017795C">
              <w:rPr>
                <w:rFonts w:cs="Arial"/>
                <w:b/>
                <w:bCs/>
                <w:sz w:val="22"/>
              </w:rPr>
              <w:t> </w:t>
            </w:r>
          </w:p>
        </w:tc>
        <w:tc>
          <w:tcPr>
            <w:tcW w:w="3447" w:type="dxa"/>
            <w:tcBorders>
              <w:top w:val="single" w:sz="18" w:space="0" w:color="000001"/>
              <w:left w:val="single" w:sz="4" w:space="0" w:color="000001"/>
              <w:bottom w:val="single" w:sz="4" w:space="0" w:color="auto"/>
              <w:right w:val="single" w:sz="4" w:space="0" w:color="000001"/>
            </w:tcBorders>
            <w:shd w:val="clear" w:color="auto" w:fill="auto"/>
            <w:tcMar>
              <w:left w:w="108" w:type="dxa"/>
            </w:tcMar>
          </w:tcPr>
          <w:p w14:paraId="42DB86C6" w14:textId="24DF4E48" w:rsidR="00BE2297" w:rsidRPr="00650141" w:rsidRDefault="00BE2297" w:rsidP="00BE2297">
            <w:pPr>
              <w:spacing w:after="0"/>
              <w:rPr>
                <w:rFonts w:cs="Arial"/>
                <w:bCs/>
                <w:sz w:val="22"/>
              </w:rPr>
            </w:pPr>
            <w:r w:rsidRPr="00523098">
              <w:rPr>
                <w:rFonts w:cs="Arial"/>
                <w:b/>
                <w:bCs/>
                <w:sz w:val="22"/>
              </w:rPr>
              <w:t xml:space="preserve">Objem (Kč) </w:t>
            </w:r>
            <w:r w:rsidRPr="00523098">
              <w:rPr>
                <w:rFonts w:cs="Arial"/>
                <w:bCs/>
                <w:i/>
                <w:sz w:val="22"/>
              </w:rPr>
              <w:t>na celé období realizace</w:t>
            </w:r>
          </w:p>
        </w:tc>
        <w:tc>
          <w:tcPr>
            <w:tcW w:w="3854"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5CAD6EE" w14:textId="77777777" w:rsidR="00BE2297" w:rsidRPr="00523098" w:rsidRDefault="00BE2297" w:rsidP="00BE2297">
            <w:pPr>
              <w:spacing w:after="0"/>
              <w:rPr>
                <w:rFonts w:cs="Arial"/>
                <w:b/>
                <w:bCs/>
                <w:sz w:val="22"/>
              </w:rPr>
            </w:pPr>
            <w:r w:rsidRPr="00523098">
              <w:rPr>
                <w:rFonts w:cs="Arial"/>
                <w:b/>
                <w:bCs/>
                <w:sz w:val="22"/>
              </w:rPr>
              <w:t xml:space="preserve">Předpokládané zdroje financování </w:t>
            </w:r>
          </w:p>
          <w:p w14:paraId="5123DB14" w14:textId="77777777" w:rsidR="00BE2297" w:rsidRPr="00650141" w:rsidRDefault="00BE2297" w:rsidP="00BE2297">
            <w:pPr>
              <w:spacing w:after="0"/>
              <w:rPr>
                <w:rFonts w:cs="Arial"/>
                <w:bCs/>
                <w:sz w:val="22"/>
              </w:rPr>
            </w:pPr>
          </w:p>
        </w:tc>
      </w:tr>
      <w:tr w:rsidR="00BE2297" w:rsidRPr="0017795C" w14:paraId="0A471937" w14:textId="77777777" w:rsidTr="00BE2297">
        <w:trPr>
          <w:trHeight w:val="684"/>
        </w:trPr>
        <w:tc>
          <w:tcPr>
            <w:tcW w:w="2651" w:type="dxa"/>
            <w:vMerge/>
            <w:tcBorders>
              <w:left w:val="single" w:sz="4" w:space="0" w:color="000001"/>
              <w:bottom w:val="single" w:sz="18" w:space="0" w:color="000001"/>
              <w:right w:val="single" w:sz="4" w:space="0" w:color="000001"/>
            </w:tcBorders>
            <w:shd w:val="clear" w:color="auto" w:fill="auto"/>
            <w:tcMar>
              <w:left w:w="108" w:type="dxa"/>
            </w:tcMar>
          </w:tcPr>
          <w:p w14:paraId="1AED8971" w14:textId="77777777" w:rsidR="00BE2297" w:rsidRPr="0017795C" w:rsidRDefault="00BE2297" w:rsidP="00BE2297">
            <w:pPr>
              <w:spacing w:after="0"/>
              <w:rPr>
                <w:rFonts w:cs="Arial"/>
                <w:b/>
                <w:bCs/>
                <w:sz w:val="22"/>
              </w:rPr>
            </w:pPr>
          </w:p>
        </w:tc>
        <w:tc>
          <w:tcPr>
            <w:tcW w:w="3447" w:type="dxa"/>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25BE8413" w14:textId="61C9D78C" w:rsidR="00BE2297" w:rsidRPr="00650141" w:rsidRDefault="00BE2297" w:rsidP="00BE2297">
            <w:pPr>
              <w:spacing w:after="0"/>
              <w:rPr>
                <w:rFonts w:cs="Arial"/>
                <w:b/>
                <w:bCs/>
                <w:sz w:val="22"/>
              </w:rPr>
            </w:pPr>
          </w:p>
        </w:tc>
        <w:tc>
          <w:tcPr>
            <w:tcW w:w="3854" w:type="dxa"/>
            <w:tcBorders>
              <w:top w:val="single" w:sz="4" w:space="0" w:color="000001"/>
              <w:left w:val="single" w:sz="4" w:space="0" w:color="000001"/>
              <w:bottom w:val="single" w:sz="18" w:space="0" w:color="000001"/>
              <w:right w:val="single" w:sz="4" w:space="0" w:color="000001"/>
            </w:tcBorders>
            <w:shd w:val="clear" w:color="auto" w:fill="auto"/>
            <w:tcMar>
              <w:left w:w="108" w:type="dxa"/>
            </w:tcMar>
          </w:tcPr>
          <w:p w14:paraId="18DDA672" w14:textId="175F0F65" w:rsidR="00BE2297" w:rsidRPr="00650141" w:rsidRDefault="00BE2297" w:rsidP="00BE2297">
            <w:pPr>
              <w:spacing w:after="0"/>
              <w:rPr>
                <w:rFonts w:cs="Arial"/>
                <w:b/>
                <w:bCs/>
                <w:sz w:val="22"/>
              </w:rPr>
            </w:pPr>
          </w:p>
        </w:tc>
      </w:tr>
      <w:tr w:rsidR="00BE2297" w:rsidRPr="00A31087" w14:paraId="30AA0EA2" w14:textId="77777777" w:rsidTr="00BE2297">
        <w:trPr>
          <w:trHeight w:val="510"/>
        </w:trPr>
        <w:tc>
          <w:tcPr>
            <w:tcW w:w="2651" w:type="dxa"/>
            <w:vMerge w:val="restart"/>
            <w:tcBorders>
              <w:top w:val="single" w:sz="18" w:space="0" w:color="000001"/>
              <w:left w:val="single" w:sz="4" w:space="0" w:color="000001"/>
              <w:right w:val="single" w:sz="4" w:space="0" w:color="000001"/>
            </w:tcBorders>
            <w:shd w:val="clear" w:color="auto" w:fill="auto"/>
            <w:tcMar>
              <w:left w:w="108" w:type="dxa"/>
            </w:tcMar>
          </w:tcPr>
          <w:p w14:paraId="2782C3C2" w14:textId="77777777" w:rsidR="00BE2297" w:rsidRPr="0017795C" w:rsidRDefault="00BE2297" w:rsidP="00BE2297">
            <w:pPr>
              <w:spacing w:after="0"/>
              <w:rPr>
                <w:rFonts w:cs="Arial"/>
                <w:b/>
                <w:bCs/>
                <w:sz w:val="22"/>
              </w:rPr>
            </w:pPr>
            <w:r w:rsidRPr="0017795C">
              <w:rPr>
                <w:rFonts w:cs="Arial"/>
                <w:b/>
                <w:bCs/>
                <w:sz w:val="22"/>
              </w:rPr>
              <w:t xml:space="preserve">Příprava programu/opatření </w:t>
            </w:r>
          </w:p>
          <w:p w14:paraId="63B8A804" w14:textId="5E9CAA10" w:rsidR="00BE2297" w:rsidRPr="0017795C" w:rsidRDefault="00BE2297" w:rsidP="00BE2297">
            <w:pPr>
              <w:spacing w:after="0"/>
              <w:rPr>
                <w:rFonts w:cs="Arial"/>
                <w:bCs/>
                <w:sz w:val="22"/>
              </w:rPr>
            </w:pPr>
            <w:r w:rsidRPr="0017795C">
              <w:rPr>
                <w:rFonts w:cs="Arial"/>
                <w:b/>
                <w:bCs/>
                <w:sz w:val="22"/>
              </w:rPr>
              <w:t xml:space="preserve">nebo objem prostředků pro rok </w:t>
            </w:r>
            <w:r>
              <w:rPr>
                <w:rFonts w:cs="Arial"/>
                <w:b/>
                <w:bCs/>
                <w:sz w:val="22"/>
              </w:rPr>
              <w:t>2025-2026+</w:t>
            </w:r>
          </w:p>
        </w:tc>
        <w:tc>
          <w:tcPr>
            <w:tcW w:w="3447" w:type="dxa"/>
            <w:tcBorders>
              <w:top w:val="single" w:sz="18" w:space="0" w:color="000001"/>
              <w:left w:val="single" w:sz="4" w:space="0" w:color="000001"/>
              <w:bottom w:val="dotted" w:sz="4" w:space="0" w:color="auto"/>
              <w:right w:val="single" w:sz="4" w:space="0" w:color="000001"/>
            </w:tcBorders>
            <w:shd w:val="clear" w:color="auto" w:fill="auto"/>
            <w:tcMar>
              <w:left w:w="108" w:type="dxa"/>
            </w:tcMar>
          </w:tcPr>
          <w:p w14:paraId="3E1291FF" w14:textId="22226223" w:rsidR="00BE2297" w:rsidRPr="00A31087" w:rsidRDefault="00BE2297" w:rsidP="00BE2297">
            <w:pPr>
              <w:spacing w:after="0"/>
              <w:rPr>
                <w:rFonts w:cs="Arial"/>
                <w:bCs/>
                <w:sz w:val="22"/>
              </w:rPr>
            </w:pPr>
            <w:r w:rsidRPr="00650141">
              <w:rPr>
                <w:rFonts w:cs="Arial"/>
                <w:b/>
                <w:bCs/>
                <w:i/>
                <w:iCs/>
                <w:sz w:val="22"/>
              </w:rPr>
              <w:t>202</w:t>
            </w:r>
            <w:r>
              <w:rPr>
                <w:rFonts w:cs="Arial"/>
                <w:b/>
                <w:bCs/>
                <w:i/>
                <w:iCs/>
                <w:sz w:val="22"/>
              </w:rPr>
              <w:t>5</w:t>
            </w:r>
            <w:r w:rsidRPr="00650141">
              <w:rPr>
                <w:rFonts w:cs="Arial"/>
                <w:b/>
                <w:bCs/>
                <w:i/>
                <w:iCs/>
                <w:sz w:val="22"/>
              </w:rPr>
              <w:t xml:space="preserve"> </w:t>
            </w:r>
          </w:p>
        </w:tc>
        <w:tc>
          <w:tcPr>
            <w:tcW w:w="3854" w:type="dxa"/>
            <w:tcBorders>
              <w:top w:val="single" w:sz="18" w:space="0" w:color="000001"/>
              <w:left w:val="single" w:sz="4" w:space="0" w:color="000001"/>
              <w:bottom w:val="dotted" w:sz="4" w:space="0" w:color="auto"/>
              <w:right w:val="single" w:sz="4" w:space="0" w:color="000001"/>
            </w:tcBorders>
            <w:shd w:val="clear" w:color="auto" w:fill="auto"/>
          </w:tcPr>
          <w:p w14:paraId="6977B6BB" w14:textId="7EDA4F51" w:rsidR="00BE2297" w:rsidRPr="00A31087" w:rsidRDefault="00BE2297" w:rsidP="00BE2297">
            <w:pPr>
              <w:spacing w:after="0"/>
              <w:rPr>
                <w:rFonts w:cs="Arial"/>
                <w:bCs/>
                <w:sz w:val="22"/>
              </w:rPr>
            </w:pPr>
          </w:p>
        </w:tc>
      </w:tr>
      <w:tr w:rsidR="00BE2297" w:rsidRPr="0017795C" w14:paraId="3F54715F" w14:textId="77777777" w:rsidTr="00B5455F">
        <w:trPr>
          <w:trHeight w:val="1304"/>
        </w:trPr>
        <w:tc>
          <w:tcPr>
            <w:tcW w:w="2651" w:type="dxa"/>
            <w:vMerge/>
            <w:tcMar>
              <w:left w:w="108" w:type="dxa"/>
            </w:tcMar>
          </w:tcPr>
          <w:p w14:paraId="07002982" w14:textId="77777777" w:rsidR="00BE2297" w:rsidRPr="0017795C" w:rsidRDefault="00BE2297" w:rsidP="00BE2297">
            <w:pPr>
              <w:spacing w:after="0"/>
              <w:rPr>
                <w:rFonts w:cs="Arial"/>
                <w:b/>
                <w:bCs/>
                <w:sz w:val="22"/>
              </w:rPr>
            </w:pPr>
          </w:p>
        </w:tc>
        <w:tc>
          <w:tcPr>
            <w:tcW w:w="3447" w:type="dxa"/>
            <w:tcBorders>
              <w:top w:val="dotted" w:sz="4" w:space="0" w:color="auto"/>
              <w:left w:val="single" w:sz="4" w:space="0" w:color="000001"/>
              <w:bottom w:val="single" w:sz="18" w:space="0" w:color="auto"/>
              <w:right w:val="single" w:sz="4" w:space="0" w:color="000001"/>
            </w:tcBorders>
            <w:shd w:val="clear" w:color="auto" w:fill="auto"/>
            <w:tcMar>
              <w:left w:w="108" w:type="dxa"/>
            </w:tcMar>
          </w:tcPr>
          <w:p w14:paraId="2C450CBC" w14:textId="1821BFDA" w:rsidR="00BE2297" w:rsidRPr="00BE2297" w:rsidRDefault="00BE2297" w:rsidP="00BE2297">
            <w:pPr>
              <w:spacing w:after="0" w:line="276" w:lineRule="auto"/>
              <w:rPr>
                <w:rFonts w:cs="Arial"/>
                <w:bCs/>
                <w:sz w:val="22"/>
              </w:rPr>
            </w:pPr>
            <w:r w:rsidRPr="00BE2297">
              <w:rPr>
                <w:rFonts w:cs="Arial"/>
                <w:b/>
                <w:bCs/>
                <w:i/>
                <w:iCs/>
                <w:sz w:val="22"/>
              </w:rPr>
              <w:t>2026+</w:t>
            </w:r>
          </w:p>
        </w:tc>
        <w:tc>
          <w:tcPr>
            <w:tcW w:w="3854" w:type="dxa"/>
            <w:tcBorders>
              <w:top w:val="dotted" w:sz="4" w:space="0" w:color="auto"/>
              <w:left w:val="single" w:sz="4" w:space="0" w:color="000001"/>
              <w:bottom w:val="single" w:sz="18" w:space="0" w:color="auto"/>
              <w:right w:val="single" w:sz="4" w:space="0" w:color="000001"/>
            </w:tcBorders>
            <w:shd w:val="clear" w:color="auto" w:fill="auto"/>
          </w:tcPr>
          <w:p w14:paraId="70065E16" w14:textId="77777777" w:rsidR="00BE2297" w:rsidRPr="0017795C" w:rsidRDefault="00BE2297" w:rsidP="00BE2297">
            <w:pPr>
              <w:spacing w:after="0"/>
              <w:rPr>
                <w:rFonts w:cs="Arial"/>
                <w:bCs/>
                <w:sz w:val="22"/>
              </w:rPr>
            </w:pPr>
          </w:p>
        </w:tc>
      </w:tr>
    </w:tbl>
    <w:p w14:paraId="614D8441" w14:textId="77777777" w:rsidR="005340E7" w:rsidRDefault="005340E7" w:rsidP="00DF6076">
      <w:pPr>
        <w:pStyle w:val="Nadpis1"/>
        <w:numPr>
          <w:ilvl w:val="0"/>
          <w:numId w:val="0"/>
        </w:numPr>
        <w:ind w:left="432"/>
        <w:rPr>
          <w:rFonts w:cs="Arial"/>
          <w:highlight w:val="yellow"/>
        </w:rPr>
      </w:pPr>
      <w:bookmarkStart w:id="52" w:name="_Toc479589394"/>
      <w:bookmarkStart w:id="53" w:name="_Toc486595423"/>
      <w:bookmarkStart w:id="54" w:name="_Toc515874842"/>
      <w:bookmarkEnd w:id="47"/>
      <w:bookmarkEnd w:id="48"/>
      <w:bookmarkEnd w:id="49"/>
    </w:p>
    <w:p w14:paraId="0FF2458E" w14:textId="0DE1B549" w:rsidR="00DF6076" w:rsidRDefault="00FF52AC" w:rsidP="007006B2">
      <w:pPr>
        <w:pStyle w:val="Nadpis1"/>
        <w:numPr>
          <w:ilvl w:val="0"/>
          <w:numId w:val="3"/>
        </w:numPr>
        <w:rPr>
          <w:rFonts w:cs="Arial"/>
        </w:rPr>
      </w:pPr>
      <w:bookmarkStart w:id="55" w:name="_Toc175743060"/>
      <w:r w:rsidRPr="003F7244">
        <w:rPr>
          <w:rFonts w:cs="Arial"/>
        </w:rPr>
        <w:t xml:space="preserve">Pilíř D – </w:t>
      </w:r>
      <w:r w:rsidR="003D18E6" w:rsidRPr="003F7244">
        <w:rPr>
          <w:rFonts w:cs="Arial"/>
        </w:rPr>
        <w:t>Potenciál lidí</w:t>
      </w:r>
      <w:bookmarkEnd w:id="55"/>
    </w:p>
    <w:p w14:paraId="26F468E5" w14:textId="77777777" w:rsidR="007006B2" w:rsidRPr="007006B2" w:rsidRDefault="007006B2" w:rsidP="007006B2"/>
    <w:p w14:paraId="4FFDE119" w14:textId="66D75416" w:rsidR="00FF52AC" w:rsidRPr="003F7244" w:rsidRDefault="003233F7" w:rsidP="003F7244">
      <w:pPr>
        <w:pStyle w:val="Nadpis2"/>
        <w:spacing w:line="276" w:lineRule="auto"/>
      </w:pPr>
      <w:bookmarkStart w:id="56" w:name="_Toc175743061"/>
      <w:r w:rsidRPr="003F7244">
        <w:t>D.1 - Více lepších pracovních příležitostí („high-skills“ pro soukromý i veřejný sektor)</w:t>
      </w:r>
      <w:bookmarkEnd w:id="56"/>
    </w:p>
    <w:p w14:paraId="5251FC4C" w14:textId="27620FF5" w:rsidR="00FF52AC" w:rsidRPr="007006B2" w:rsidRDefault="007006B2" w:rsidP="007006B2">
      <w:pPr>
        <w:pStyle w:val="Nadpis3"/>
      </w:pPr>
      <w:bookmarkStart w:id="57" w:name="_Toc175743062"/>
      <w:r>
        <w:t>VI</w:t>
      </w:r>
      <w:r w:rsidR="006814A0" w:rsidRPr="007006B2">
        <w:t>.D.1.</w:t>
      </w:r>
      <w:r w:rsidR="004F3EC0">
        <w:t>2</w:t>
      </w:r>
      <w:r w:rsidR="006814A0" w:rsidRPr="007006B2">
        <w:t xml:space="preserve"> - Koordinace a příprava podrobného návrhu realizace kompetenčního a tréninkového centra/vzdělávací platformy orientované na sdílení znalostí v oblasti polovodičového hodnotového řetězce</w:t>
      </w:r>
      <w:bookmarkEnd w:id="57"/>
    </w:p>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468"/>
      </w:tblGrid>
      <w:tr w:rsidR="00FF52AC" w:rsidRPr="001C6327" w14:paraId="4A5729A6" w14:textId="77777777" w:rsidTr="001C6327">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F354021" w14:textId="77777777" w:rsidR="00FF52AC" w:rsidRPr="001C6327" w:rsidRDefault="00FF52AC" w:rsidP="001C6327">
            <w:pPr>
              <w:spacing w:after="0" w:line="276" w:lineRule="auto"/>
              <w:rPr>
                <w:rFonts w:cs="Arial"/>
                <w:b/>
                <w:bCs/>
                <w:sz w:val="22"/>
              </w:rPr>
            </w:pPr>
            <w:r w:rsidRPr="001C6327">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48EA115F" w14:textId="77777777" w:rsidR="00FF52AC" w:rsidRPr="00EF1321" w:rsidRDefault="00FF52AC" w:rsidP="001C6327">
            <w:pPr>
              <w:spacing w:after="0" w:line="276" w:lineRule="auto"/>
              <w:jc w:val="both"/>
              <w:rPr>
                <w:rFonts w:cs="Arial"/>
                <w:b/>
                <w:iCs/>
                <w:color w:val="000000"/>
                <w:sz w:val="22"/>
              </w:rPr>
            </w:pPr>
            <w:r w:rsidRPr="00EF1321">
              <w:rPr>
                <w:rFonts w:cs="Arial"/>
                <w:b/>
                <w:iCs/>
                <w:color w:val="000000"/>
                <w:sz w:val="22"/>
              </w:rPr>
              <w:t>Vláda ČR ukládá:</w:t>
            </w:r>
          </w:p>
          <w:p w14:paraId="56A94C1E" w14:textId="5BFA0A85" w:rsidR="00FF52AC" w:rsidRPr="001C6327" w:rsidRDefault="00FF52AC" w:rsidP="001C6327">
            <w:pPr>
              <w:spacing w:after="0" w:line="276" w:lineRule="auto"/>
              <w:jc w:val="both"/>
              <w:rPr>
                <w:rFonts w:cs="Arial"/>
                <w:bCs/>
                <w:iCs/>
                <w:color w:val="000000"/>
                <w:sz w:val="22"/>
              </w:rPr>
            </w:pPr>
            <w:bookmarkStart w:id="58" w:name="_Hlk174349350"/>
            <w:r w:rsidRPr="00EF1321">
              <w:rPr>
                <w:rFonts w:cs="Arial"/>
                <w:b/>
                <w:iCs/>
                <w:color w:val="000000"/>
                <w:sz w:val="22"/>
              </w:rPr>
              <w:t>Ministrovi životního prostředí,</w:t>
            </w:r>
            <w:r w:rsidRPr="001C6327">
              <w:rPr>
                <w:rFonts w:cs="Arial"/>
                <w:b/>
                <w:i/>
                <w:color w:val="000000"/>
                <w:sz w:val="22"/>
              </w:rPr>
              <w:t xml:space="preserve"> </w:t>
            </w:r>
            <w:bookmarkEnd w:id="58"/>
            <w:r w:rsidRPr="001C6327">
              <w:rPr>
                <w:rFonts w:cs="Arial"/>
                <w:bCs/>
                <w:iCs/>
                <w:color w:val="000000"/>
                <w:sz w:val="22"/>
              </w:rPr>
              <w:t xml:space="preserve">aby se pokusil nalézt možnosti podpory a dostupné prostředky pro koordinaci přípravy a přípravu projektu na vytvoření kompetenčního a tréninkového centra (nebo vzdělávací platformy) na území strukturálně postižených krajů (výhledově, pokud to bude možné, i jeho realizaci a činnost), jehož smyslem by bylo školení zaměstnanců firem, akademiků a studentů, kteří mají zájem se zapojit do </w:t>
            </w:r>
          </w:p>
          <w:p w14:paraId="37D9F63D" w14:textId="77777777" w:rsidR="00FF52AC" w:rsidRPr="001C6327" w:rsidRDefault="00FF52AC" w:rsidP="001C6327">
            <w:pPr>
              <w:spacing w:after="0" w:line="276" w:lineRule="auto"/>
              <w:jc w:val="both"/>
              <w:rPr>
                <w:rFonts w:cs="Arial"/>
                <w:bCs/>
                <w:iCs/>
                <w:color w:val="000000"/>
                <w:sz w:val="22"/>
              </w:rPr>
            </w:pPr>
            <w:r w:rsidRPr="001C6327">
              <w:rPr>
                <w:rFonts w:cs="Arial"/>
                <w:bCs/>
                <w:iCs/>
                <w:color w:val="000000"/>
                <w:sz w:val="22"/>
              </w:rPr>
              <w:t xml:space="preserve">a) dodavatelského řetězce, </w:t>
            </w:r>
          </w:p>
          <w:p w14:paraId="3FC845BF" w14:textId="77777777" w:rsidR="00FF52AC" w:rsidRPr="001C6327" w:rsidRDefault="00FF52AC" w:rsidP="001C6327">
            <w:pPr>
              <w:spacing w:after="0" w:line="276" w:lineRule="auto"/>
              <w:jc w:val="both"/>
              <w:rPr>
                <w:rFonts w:cs="Arial"/>
                <w:bCs/>
                <w:iCs/>
                <w:color w:val="000000"/>
                <w:sz w:val="22"/>
              </w:rPr>
            </w:pPr>
            <w:r w:rsidRPr="001C6327">
              <w:rPr>
                <w:rFonts w:cs="Arial"/>
                <w:bCs/>
                <w:iCs/>
                <w:color w:val="000000"/>
                <w:sz w:val="22"/>
              </w:rPr>
              <w:t xml:space="preserve">b) aplikovaného výzkumu, nebo </w:t>
            </w:r>
          </w:p>
          <w:p w14:paraId="01288416" w14:textId="77777777" w:rsidR="00FF52AC" w:rsidRPr="001C6327" w:rsidRDefault="00FF52AC" w:rsidP="001C6327">
            <w:pPr>
              <w:spacing w:after="0" w:line="276" w:lineRule="auto"/>
              <w:jc w:val="both"/>
              <w:rPr>
                <w:rFonts w:cs="Arial"/>
                <w:bCs/>
                <w:iCs/>
                <w:color w:val="000000"/>
                <w:sz w:val="22"/>
              </w:rPr>
            </w:pPr>
            <w:r w:rsidRPr="001C6327">
              <w:rPr>
                <w:rFonts w:cs="Arial"/>
                <w:bCs/>
                <w:iCs/>
                <w:color w:val="000000"/>
                <w:sz w:val="22"/>
              </w:rPr>
              <w:t xml:space="preserve">c) vzdělávání techniků </w:t>
            </w:r>
          </w:p>
          <w:p w14:paraId="0A5FEF5A" w14:textId="77777777" w:rsidR="00FF52AC" w:rsidRPr="001C6327" w:rsidRDefault="00FF52AC" w:rsidP="001C6327">
            <w:pPr>
              <w:spacing w:after="0" w:line="276" w:lineRule="auto"/>
              <w:jc w:val="both"/>
              <w:rPr>
                <w:rFonts w:cs="Arial"/>
                <w:bCs/>
                <w:iCs/>
                <w:color w:val="000000"/>
                <w:sz w:val="22"/>
              </w:rPr>
            </w:pPr>
            <w:r w:rsidRPr="001C6327">
              <w:rPr>
                <w:rFonts w:cs="Arial"/>
                <w:bCs/>
                <w:iCs/>
                <w:color w:val="000000"/>
                <w:sz w:val="22"/>
              </w:rPr>
              <w:t xml:space="preserve">v odvětví polovodičů a dalších odvětví zajišťujících vstupy s vyšší přidanou hodnotou pro dodavatelský řetězec výroby i designu polovodičů nebo čipů. </w:t>
            </w:r>
          </w:p>
          <w:p w14:paraId="1D6DFB62" w14:textId="77777777" w:rsidR="00FF52AC" w:rsidRPr="001C6327" w:rsidRDefault="00FF52AC" w:rsidP="001C6327">
            <w:pPr>
              <w:spacing w:after="0" w:line="276" w:lineRule="auto"/>
              <w:jc w:val="both"/>
              <w:rPr>
                <w:rFonts w:cs="Arial"/>
                <w:b/>
                <w:i/>
                <w:color w:val="000000"/>
                <w:sz w:val="22"/>
              </w:rPr>
            </w:pPr>
          </w:p>
          <w:p w14:paraId="1F51999C" w14:textId="77777777" w:rsidR="00FF52AC" w:rsidRPr="001C6327" w:rsidRDefault="00FF52AC" w:rsidP="001C6327">
            <w:pPr>
              <w:spacing w:after="0" w:line="276" w:lineRule="auto"/>
              <w:jc w:val="both"/>
              <w:rPr>
                <w:rFonts w:cs="Arial"/>
                <w:b/>
                <w:iCs/>
                <w:color w:val="000000"/>
                <w:sz w:val="22"/>
              </w:rPr>
            </w:pPr>
            <w:r w:rsidRPr="001C6327">
              <w:rPr>
                <w:rFonts w:cs="Arial"/>
                <w:b/>
                <w:iCs/>
                <w:color w:val="000000"/>
                <w:sz w:val="22"/>
              </w:rPr>
              <w:t xml:space="preserve">Ministrovi pro místní rozvoj </w:t>
            </w:r>
            <w:r w:rsidRPr="001C6327">
              <w:rPr>
                <w:rFonts w:cs="Arial"/>
                <w:bCs/>
                <w:iCs/>
                <w:color w:val="000000"/>
                <w:sz w:val="22"/>
              </w:rPr>
              <w:t>koordinaci s dalšími resorty a dohled nad přípravou detailního návrhu projektu vybudování kompetenčního a tréninkového centra, které bude mít zajištěnou/domluvenou spolupráci s klíčovými aktéry (např. prostřednictvím memorand o spolupráci).</w:t>
            </w:r>
          </w:p>
          <w:p w14:paraId="187EBDF1" w14:textId="77777777" w:rsidR="00FF52AC" w:rsidRPr="001C6327" w:rsidRDefault="00FF52AC" w:rsidP="001C6327">
            <w:pPr>
              <w:spacing w:after="0" w:line="276" w:lineRule="auto"/>
              <w:jc w:val="both"/>
              <w:rPr>
                <w:rFonts w:cs="Arial"/>
                <w:b/>
                <w:i/>
                <w:color w:val="000000"/>
                <w:sz w:val="22"/>
              </w:rPr>
            </w:pPr>
          </w:p>
          <w:p w14:paraId="51499496" w14:textId="77777777" w:rsidR="00FF52AC" w:rsidRPr="001C6327" w:rsidRDefault="00FF52AC" w:rsidP="001C6327">
            <w:pPr>
              <w:spacing w:after="0" w:line="276" w:lineRule="auto"/>
              <w:jc w:val="both"/>
              <w:rPr>
                <w:rFonts w:cs="Arial"/>
                <w:b/>
                <w:iCs/>
                <w:color w:val="000000"/>
                <w:sz w:val="22"/>
              </w:rPr>
            </w:pPr>
            <w:r w:rsidRPr="001C6327">
              <w:rPr>
                <w:rFonts w:cs="Arial"/>
                <w:b/>
                <w:iCs/>
                <w:color w:val="000000"/>
                <w:sz w:val="22"/>
              </w:rPr>
              <w:t xml:space="preserve">Ministrovi průmyslu a obchodu </w:t>
            </w:r>
            <w:r w:rsidRPr="001C6327">
              <w:rPr>
                <w:rFonts w:cs="Arial"/>
                <w:bCs/>
                <w:iCs/>
                <w:color w:val="000000"/>
                <w:sz w:val="22"/>
              </w:rPr>
              <w:t>poskytovat součinnost výše zmíněným ministerstvům</w:t>
            </w:r>
            <w:r w:rsidRPr="001C6327">
              <w:rPr>
                <w:rFonts w:cs="Arial"/>
                <w:b/>
                <w:iCs/>
                <w:color w:val="000000"/>
                <w:sz w:val="22"/>
              </w:rPr>
              <w:t xml:space="preserve"> </w:t>
            </w:r>
            <w:r w:rsidRPr="001C6327">
              <w:rPr>
                <w:rFonts w:cs="Arial"/>
                <w:iCs/>
                <w:color w:val="000000"/>
                <w:sz w:val="22"/>
                <w:bdr w:val="none" w:sz="0" w:space="0" w:color="auto" w:frame="1"/>
              </w:rPr>
              <w:t xml:space="preserve">a zajistit soulad i komplementaritu s činností národního polovodičového centra kompetence, Národní polovodičovou strategií a souvisejícími aktivitami, které v této oblasti </w:t>
            </w:r>
            <w:proofErr w:type="gramStart"/>
            <w:r w:rsidRPr="001C6327">
              <w:rPr>
                <w:rFonts w:cs="Arial"/>
                <w:iCs/>
                <w:color w:val="000000"/>
                <w:sz w:val="22"/>
                <w:bdr w:val="none" w:sz="0" w:space="0" w:color="auto" w:frame="1"/>
              </w:rPr>
              <w:t>řeší</w:t>
            </w:r>
            <w:proofErr w:type="gramEnd"/>
            <w:r w:rsidRPr="001C6327">
              <w:rPr>
                <w:rFonts w:cs="Arial"/>
                <w:iCs/>
                <w:color w:val="000000"/>
                <w:sz w:val="22"/>
                <w:bdr w:val="none" w:sz="0" w:space="0" w:color="auto" w:frame="1"/>
              </w:rPr>
              <w:t xml:space="preserve"> ministerstvo průmyslu a obchodu.</w:t>
            </w:r>
          </w:p>
          <w:p w14:paraId="0ED6325F" w14:textId="77777777" w:rsidR="00FF52AC" w:rsidRPr="001C6327" w:rsidRDefault="00FF52AC" w:rsidP="001C6327">
            <w:pPr>
              <w:spacing w:after="0" w:line="276" w:lineRule="auto"/>
              <w:jc w:val="both"/>
              <w:rPr>
                <w:rFonts w:cs="Arial"/>
                <w:bCs/>
                <w:i/>
                <w:sz w:val="22"/>
              </w:rPr>
            </w:pPr>
          </w:p>
        </w:tc>
      </w:tr>
      <w:tr w:rsidR="00FF52AC" w:rsidRPr="001C6327" w14:paraId="4F02DFEB" w14:textId="77777777" w:rsidTr="001C6327">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CE5958E" w14:textId="77777777" w:rsidR="00FF52AC" w:rsidRPr="001C6327" w:rsidRDefault="00FF52AC" w:rsidP="001C6327">
            <w:pPr>
              <w:spacing w:after="0" w:line="276" w:lineRule="auto"/>
              <w:rPr>
                <w:rFonts w:cs="Arial"/>
                <w:b/>
                <w:bCs/>
                <w:sz w:val="22"/>
              </w:rPr>
            </w:pPr>
            <w:r w:rsidRPr="001C6327">
              <w:rPr>
                <w:rFonts w:cs="Arial"/>
                <w:b/>
                <w:bCs/>
                <w:sz w:val="22"/>
              </w:rPr>
              <w:t>Pilíř/pilíře</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EA730AA" w14:textId="336F9D80" w:rsidR="00FF52AC" w:rsidRPr="001C6327" w:rsidRDefault="00020A25" w:rsidP="001C6327">
            <w:pPr>
              <w:spacing w:after="0"/>
              <w:jc w:val="both"/>
              <w:rPr>
                <w:rFonts w:cs="Arial"/>
                <w:bCs/>
                <w:sz w:val="22"/>
              </w:rPr>
            </w:pPr>
            <w:r>
              <w:rPr>
                <w:rFonts w:cs="Arial"/>
                <w:bCs/>
                <w:sz w:val="22"/>
              </w:rPr>
              <w:t xml:space="preserve">Pilíř </w:t>
            </w:r>
            <w:r w:rsidR="00FF52AC" w:rsidRPr="001C6327">
              <w:rPr>
                <w:rFonts w:cs="Arial"/>
                <w:bCs/>
                <w:sz w:val="22"/>
              </w:rPr>
              <w:t xml:space="preserve">D </w:t>
            </w:r>
            <w:r w:rsidR="003D18E6">
              <w:rPr>
                <w:rFonts w:cs="Arial"/>
                <w:bCs/>
                <w:sz w:val="22"/>
              </w:rPr>
              <w:t>–</w:t>
            </w:r>
            <w:r w:rsidR="00EF1321">
              <w:rPr>
                <w:rFonts w:cs="Arial"/>
                <w:bCs/>
                <w:sz w:val="22"/>
              </w:rPr>
              <w:t xml:space="preserve"> </w:t>
            </w:r>
            <w:r w:rsidR="003D18E6">
              <w:rPr>
                <w:rFonts w:cs="Arial"/>
                <w:bCs/>
                <w:sz w:val="22"/>
              </w:rPr>
              <w:t xml:space="preserve">Potenciál lidí </w:t>
            </w:r>
            <w:r w:rsidR="00FF52AC" w:rsidRPr="001C6327">
              <w:rPr>
                <w:rFonts w:cs="Arial"/>
                <w:bCs/>
                <w:sz w:val="22"/>
              </w:rPr>
              <w:t xml:space="preserve">(s přesahy do </w:t>
            </w:r>
            <w:r w:rsidR="003D18E6">
              <w:rPr>
                <w:rFonts w:cs="Arial"/>
                <w:bCs/>
                <w:sz w:val="22"/>
              </w:rPr>
              <w:t xml:space="preserve">pilířů </w:t>
            </w:r>
            <w:r w:rsidR="00FF52AC" w:rsidRPr="001C6327">
              <w:rPr>
                <w:rFonts w:cs="Arial"/>
                <w:bCs/>
                <w:sz w:val="22"/>
              </w:rPr>
              <w:t>A, B, C)</w:t>
            </w:r>
          </w:p>
        </w:tc>
      </w:tr>
      <w:tr w:rsidR="00FF52AC" w:rsidRPr="001C6327" w14:paraId="4BD4023C" w14:textId="77777777" w:rsidTr="001C63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55255F" w14:textId="77777777" w:rsidR="00FF52AC" w:rsidRPr="001C6327" w:rsidRDefault="00FF52AC" w:rsidP="001C6327">
            <w:pPr>
              <w:spacing w:after="0" w:line="276" w:lineRule="auto"/>
              <w:rPr>
                <w:rFonts w:cs="Arial"/>
                <w:b/>
                <w:bCs/>
                <w:sz w:val="22"/>
              </w:rPr>
            </w:pPr>
            <w:r w:rsidRPr="001C6327">
              <w:rPr>
                <w:rFonts w:cs="Arial"/>
                <w:b/>
                <w:bCs/>
                <w:sz w:val="22"/>
              </w:rPr>
              <w:t>Strategický cíl/cíle</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76FAD" w14:textId="40ACA5CB" w:rsidR="00FF52AC" w:rsidRPr="001C6327" w:rsidRDefault="00020A25" w:rsidP="001C6327">
            <w:pPr>
              <w:jc w:val="both"/>
              <w:rPr>
                <w:rFonts w:cs="Arial"/>
                <w:sz w:val="22"/>
              </w:rPr>
            </w:pPr>
            <w:r>
              <w:rPr>
                <w:rFonts w:cs="Arial"/>
                <w:sz w:val="22"/>
              </w:rPr>
              <w:t>D</w:t>
            </w:r>
            <w:r w:rsidR="00EF1321">
              <w:rPr>
                <w:rFonts w:cs="Arial"/>
                <w:sz w:val="22"/>
              </w:rPr>
              <w:t>.</w:t>
            </w:r>
            <w:r>
              <w:rPr>
                <w:rFonts w:cs="Arial"/>
                <w:sz w:val="22"/>
              </w:rPr>
              <w:t xml:space="preserve">1 </w:t>
            </w:r>
            <w:r w:rsidR="00EF1321" w:rsidRPr="00EF1321">
              <w:rPr>
                <w:sz w:val="22"/>
              </w:rPr>
              <w:t>Více lepších pracovních příležitostí („high-skills“ pro soukromý i veřejný sektor)</w:t>
            </w:r>
          </w:p>
        </w:tc>
      </w:tr>
      <w:tr w:rsidR="00FF52AC" w:rsidRPr="001C6327" w14:paraId="742D2F39" w14:textId="77777777" w:rsidTr="001C63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68F17" w14:textId="77777777" w:rsidR="00FF52AC" w:rsidRPr="001C6327" w:rsidRDefault="00FF52AC" w:rsidP="001C6327">
            <w:pPr>
              <w:spacing w:after="0" w:line="276" w:lineRule="auto"/>
              <w:rPr>
                <w:rFonts w:cs="Arial"/>
                <w:b/>
                <w:bCs/>
                <w:sz w:val="22"/>
              </w:rPr>
            </w:pPr>
            <w:r w:rsidRPr="001C6327">
              <w:rPr>
                <w:rFonts w:cs="Arial"/>
                <w:b/>
                <w:bCs/>
                <w:sz w:val="22"/>
              </w:rPr>
              <w:t xml:space="preserve">Oblast </w:t>
            </w:r>
            <w:proofErr w:type="gramStart"/>
            <w:r w:rsidRPr="001C6327">
              <w:rPr>
                <w:rFonts w:cs="Arial"/>
                <w:b/>
                <w:bCs/>
                <w:sz w:val="22"/>
              </w:rPr>
              <w:t>změn - indikátory</w:t>
            </w:r>
            <w:proofErr w:type="gramEnd"/>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8C3049" w14:textId="77777777" w:rsidR="00FF52AC" w:rsidRPr="001C6327" w:rsidRDefault="00FF52AC" w:rsidP="001C6327">
            <w:pPr>
              <w:spacing w:after="0"/>
              <w:jc w:val="both"/>
              <w:rPr>
                <w:rFonts w:cs="Arial"/>
                <w:sz w:val="22"/>
              </w:rPr>
            </w:pPr>
            <w:r w:rsidRPr="001C6327">
              <w:rPr>
                <w:rFonts w:cs="Arial"/>
                <w:bCs/>
                <w:sz w:val="22"/>
              </w:rPr>
              <w:t>Změny: Vytvoření propracovaného návrhu kompetenčního a tréninkového centra/vzdělávací platformy</w:t>
            </w:r>
          </w:p>
          <w:p w14:paraId="69252C92" w14:textId="77777777" w:rsidR="00FF52AC" w:rsidRPr="001C6327" w:rsidRDefault="00FF52AC" w:rsidP="001C6327">
            <w:pPr>
              <w:spacing w:after="0" w:line="276" w:lineRule="auto"/>
              <w:jc w:val="both"/>
              <w:rPr>
                <w:rFonts w:cs="Arial"/>
                <w:bCs/>
                <w:sz w:val="22"/>
              </w:rPr>
            </w:pPr>
            <w:r w:rsidRPr="001C6327">
              <w:rPr>
                <w:rFonts w:cs="Arial"/>
                <w:sz w:val="22"/>
              </w:rPr>
              <w:t>Indikátory</w:t>
            </w:r>
            <w:r w:rsidRPr="001C6327">
              <w:rPr>
                <w:rFonts w:cs="Arial"/>
                <w:bCs/>
                <w:sz w:val="22"/>
              </w:rPr>
              <w:t>: Zajištění finanční podpory pro přípravu realizace kompetenčního a tréninkového centra/vzdělávací platformy.</w:t>
            </w:r>
          </w:p>
          <w:p w14:paraId="522BC4E4" w14:textId="77777777" w:rsidR="00FF52AC" w:rsidRPr="001C6327" w:rsidRDefault="00FF52AC" w:rsidP="001C6327">
            <w:pPr>
              <w:spacing w:after="0" w:line="276" w:lineRule="auto"/>
              <w:jc w:val="both"/>
              <w:rPr>
                <w:rFonts w:cs="Arial"/>
                <w:sz w:val="22"/>
              </w:rPr>
            </w:pPr>
          </w:p>
        </w:tc>
      </w:tr>
      <w:tr w:rsidR="00FF52AC" w:rsidRPr="001C6327" w14:paraId="08B67565" w14:textId="77777777" w:rsidTr="001C63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799A18" w14:textId="77777777" w:rsidR="00FF52AC" w:rsidRPr="001C6327" w:rsidRDefault="00FF52AC" w:rsidP="001C6327">
            <w:pPr>
              <w:spacing w:after="0" w:line="276" w:lineRule="auto"/>
              <w:rPr>
                <w:rFonts w:cs="Arial"/>
                <w:b/>
                <w:bCs/>
                <w:i/>
                <w:sz w:val="22"/>
              </w:rPr>
            </w:pPr>
            <w:r w:rsidRPr="001C6327">
              <w:rPr>
                <w:rFonts w:cs="Arial"/>
                <w:b/>
                <w:bCs/>
                <w:sz w:val="22"/>
              </w:rPr>
              <w:lastRenderedPageBreak/>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192BE9" w14:textId="77777777" w:rsidR="00FF52AC" w:rsidRPr="001C6327" w:rsidRDefault="00FF52AC" w:rsidP="001C6327">
            <w:pPr>
              <w:spacing w:after="0" w:line="276" w:lineRule="auto"/>
              <w:jc w:val="both"/>
              <w:rPr>
                <w:rFonts w:cs="Arial"/>
                <w:b/>
                <w:bCs/>
                <w:sz w:val="22"/>
              </w:rPr>
            </w:pPr>
            <w:r w:rsidRPr="001C6327">
              <w:rPr>
                <w:rStyle w:val="ui-provider"/>
                <w:rFonts w:cs="Arial"/>
                <w:sz w:val="22"/>
              </w:rPr>
              <w:t>Koordinace a příprava podrobného návrhu realizace kompetenčního a tréninkového centra/vzdělávací platformy orientované na sdílení znalostí v oblasti polovodičového hodnotového řetězce.</w:t>
            </w:r>
          </w:p>
        </w:tc>
      </w:tr>
      <w:tr w:rsidR="00FF52AC" w:rsidRPr="001C6327" w14:paraId="3B249999" w14:textId="77777777" w:rsidTr="001C6327">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25ECF" w14:textId="77777777" w:rsidR="00FF52AC" w:rsidRPr="001C6327" w:rsidRDefault="00FF52AC" w:rsidP="001C6327">
            <w:pPr>
              <w:spacing w:after="0" w:line="276" w:lineRule="auto"/>
              <w:rPr>
                <w:rFonts w:cs="Arial"/>
                <w:b/>
                <w:bCs/>
                <w:sz w:val="22"/>
              </w:rPr>
            </w:pPr>
            <w:bookmarkStart w:id="59" w:name="_Hlk174105246"/>
            <w:r w:rsidRPr="001C6327">
              <w:rPr>
                <w:rFonts w:cs="Arial"/>
                <w:b/>
                <w:bCs/>
                <w:sz w:val="22"/>
              </w:rPr>
              <w:t>Zdůvodnění a popis programu</w:t>
            </w:r>
          </w:p>
          <w:bookmarkEnd w:id="59"/>
          <w:p w14:paraId="6DBC1119" w14:textId="77777777" w:rsidR="00FF52AC" w:rsidRPr="001C6327" w:rsidRDefault="00FF52AC" w:rsidP="001C6327">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E8ED7B" w14:textId="77777777" w:rsidR="00FF52AC" w:rsidRPr="001C6327" w:rsidRDefault="00FF52AC" w:rsidP="001C6327">
            <w:pPr>
              <w:jc w:val="both"/>
              <w:rPr>
                <w:rFonts w:cs="Arial"/>
                <w:sz w:val="22"/>
              </w:rPr>
            </w:pPr>
            <w:bookmarkStart w:id="60" w:name="_Hlk174535347"/>
            <w:r w:rsidRPr="001C6327">
              <w:rPr>
                <w:rFonts w:cs="Arial"/>
                <w:sz w:val="22"/>
              </w:rPr>
              <w:t xml:space="preserve">Předkládané opatření lze chápat jako první krok v úsilí, jehož konečným cílem je vznik </w:t>
            </w:r>
            <w:r w:rsidRPr="001C6327">
              <w:rPr>
                <w:rFonts w:cs="Arial"/>
                <w:bCs/>
                <w:iCs/>
                <w:color w:val="000000"/>
                <w:sz w:val="22"/>
              </w:rPr>
              <w:t xml:space="preserve">kompetenčního a tréninkového centra (nebo vzdělávací platformy) v odvětví polovodičů a souvisejících odvětví (viz vlastní úkol opatření) s lokalizací a primární působností ve strukturálně postižených krajích. </w:t>
            </w:r>
          </w:p>
          <w:p w14:paraId="1CEB7C33" w14:textId="77777777" w:rsidR="00FF52AC" w:rsidRPr="001C6327" w:rsidRDefault="00FF52AC" w:rsidP="001C6327">
            <w:pPr>
              <w:jc w:val="both"/>
              <w:rPr>
                <w:rFonts w:cs="Arial"/>
                <w:sz w:val="22"/>
              </w:rPr>
            </w:pPr>
            <w:r w:rsidRPr="001C6327">
              <w:rPr>
                <w:rFonts w:cs="Arial"/>
                <w:sz w:val="22"/>
              </w:rPr>
              <w:t>Obsahem opatření a jeho hlavním cílem je pokusit se nalézt a uvolnit finanční prostředky na</w:t>
            </w:r>
            <w:r w:rsidRPr="001C6327">
              <w:rPr>
                <w:rFonts w:cs="Arial"/>
                <w:color w:val="000000"/>
                <w:sz w:val="22"/>
                <w:shd w:val="clear" w:color="auto" w:fill="FFFFFF"/>
              </w:rPr>
              <w:t xml:space="preserve"> koordinaci a přípravu podrobného návrhu</w:t>
            </w:r>
            <w:r w:rsidRPr="001C6327">
              <w:rPr>
                <w:rFonts w:cs="Arial"/>
                <w:sz w:val="22"/>
              </w:rPr>
              <w:t xml:space="preserve"> </w:t>
            </w:r>
            <w:r w:rsidRPr="001C6327">
              <w:rPr>
                <w:rFonts w:cs="Arial"/>
                <w:bCs/>
                <w:iCs/>
                <w:color w:val="000000"/>
                <w:sz w:val="22"/>
              </w:rPr>
              <w:t xml:space="preserve">výše zmíněného centra, které by mělo nejlépe vzniknout do roku 2027, s ohledem na maximalizaci přínosu jeho existence a již avizované klíčové investice na území ČR, nebo v blízkém zahraničí a související pozitivní synergie spojené s těmito investicemi (viz dále).   </w:t>
            </w:r>
          </w:p>
          <w:p w14:paraId="11087551" w14:textId="77777777" w:rsidR="00FF52AC" w:rsidRPr="001C6327" w:rsidRDefault="00FF52AC" w:rsidP="001C6327">
            <w:pPr>
              <w:jc w:val="both"/>
              <w:rPr>
                <w:rFonts w:cs="Arial"/>
                <w:sz w:val="22"/>
              </w:rPr>
            </w:pPr>
            <w:r w:rsidRPr="001C6327">
              <w:rPr>
                <w:rFonts w:cs="Arial"/>
                <w:sz w:val="22"/>
              </w:rPr>
              <w:t>Očekává se, že případná realizace navrženého centra/platformy by se v budoucnu podpořila, buď kombinací zdrojů z různých ministerstev, nebo podporou pouze jednoho z nich v závislosti na situaci.</w:t>
            </w:r>
          </w:p>
          <w:p w14:paraId="0C894E2A" w14:textId="77777777" w:rsidR="00FF52AC" w:rsidRPr="001C6327" w:rsidRDefault="00FF52AC" w:rsidP="001C6327">
            <w:pPr>
              <w:jc w:val="both"/>
              <w:rPr>
                <w:rFonts w:cs="Arial"/>
                <w:sz w:val="22"/>
              </w:rPr>
            </w:pPr>
            <w:r w:rsidRPr="001C6327">
              <w:rPr>
                <w:rFonts w:cs="Arial"/>
                <w:sz w:val="22"/>
              </w:rPr>
              <w:t xml:space="preserve"> Realizaci </w:t>
            </w:r>
            <w:r w:rsidRPr="001C6327">
              <w:rPr>
                <w:rFonts w:cs="Arial"/>
                <w:bCs/>
                <w:iCs/>
                <w:color w:val="000000"/>
                <w:sz w:val="22"/>
              </w:rPr>
              <w:t>kompetenčního a tréninkového centra (nebo vzdělávací platformy) v odvětví polovodičů a souvisejících odvětví</w:t>
            </w:r>
            <w:r w:rsidRPr="001C6327">
              <w:rPr>
                <w:rFonts w:cs="Arial"/>
                <w:sz w:val="22"/>
              </w:rPr>
              <w:t xml:space="preserve"> a jeho činnost lze chápat jako navazující, rozšiřující nebo samostatné opatření. Vytvoření kompetenčního a tréninkového centra/vzdělávací platformy by pak navazovalo na národní hospodářskou prioritu, kterou je rozvoj polovodičového odvětví v České republice (vazba na Národní polovodičovou strategii). Opatření by také vytvořilo vhodné podmínky pro zapojení strukturálně znevýhodněných krajů a jejich firem do perspektivního odvětví a dodavatelského řetězce výroby polovodičů.  </w:t>
            </w:r>
          </w:p>
          <w:p w14:paraId="0A885B68" w14:textId="7421CB3A" w:rsidR="00FF52AC" w:rsidRPr="001C6327" w:rsidRDefault="00FF52AC" w:rsidP="001C6327">
            <w:pPr>
              <w:jc w:val="both"/>
              <w:rPr>
                <w:rFonts w:cs="Arial"/>
                <w:sz w:val="22"/>
              </w:rPr>
            </w:pPr>
            <w:r w:rsidRPr="001C6327">
              <w:rPr>
                <w:rFonts w:cs="Arial"/>
                <w:sz w:val="22"/>
              </w:rPr>
              <w:t xml:space="preserve">Úspěšná integrace do dodavatelského řetězce polovodičů a čipů vyžaduje využití existujících předpokladů, jako je přítomnost firem s vhodnou odvětvovou specializací (například zastoupení firem v chemickém průmyslu v Ústeckém a Karlovarském kraji spotenciálem stát se důležitým dodavatelem vstupů pro výrobce polovodičů), nebo geografické blízkosti k Sasku a Drážďanům (technologický hub v tomto odvětví a příjemce velké tchajwanské investice TSMC, jež sebou přinese celou řadu menších investic, z nichž část se pravděpodobně bude lokalizovat i na území ČR), případně blízkost k Rožnovu pod Radhoštěm v případě investice Onsemi do expanze výroby tamního závodu. Klíčovým lokalizačním faktorem pro firmy vyššího řádu dodavatelského řetězce, které produkují výrobky s vyšší přidanou hodnotu, je přítomnost odpovídající znalostí základny. </w:t>
            </w:r>
          </w:p>
          <w:p w14:paraId="2C275676" w14:textId="77777777" w:rsidR="00FF52AC" w:rsidRPr="001C6327" w:rsidRDefault="00FF52AC" w:rsidP="001C6327">
            <w:pPr>
              <w:jc w:val="both"/>
              <w:rPr>
                <w:rFonts w:cs="Arial"/>
                <w:sz w:val="22"/>
              </w:rPr>
            </w:pPr>
            <w:r w:rsidRPr="001C6327">
              <w:rPr>
                <w:rFonts w:cs="Arial"/>
                <w:sz w:val="22"/>
              </w:rPr>
              <w:t xml:space="preserve">V tomto ohledu podpora přípravy vzniku a fungování kompetenčního a tréninkového centra, nebo vzdělávací platformy vhodně propojené na regionální, národní či mezinárodní vzdělávací a inovační centra, </w:t>
            </w:r>
            <w:r w:rsidRPr="001C6327">
              <w:rPr>
                <w:rFonts w:cs="Arial"/>
                <w:sz w:val="22"/>
              </w:rPr>
              <w:lastRenderedPageBreak/>
              <w:t xml:space="preserve">klastry (např. CNSC) a místní aktéry pomůže zaostávajícím krajům participovat na rozvoji tohoto odvětví. Snahou je „prodloužit“ nosné národní a evropské aktivity (např. evropskou síť kompetenčních center) přizpůsobené regionálním předpokladům i do zmíněných regionů, tj. nekryje se s jejich činnosti (neorientuje se na chip design). </w:t>
            </w:r>
          </w:p>
          <w:p w14:paraId="7C2CB0C0" w14:textId="77777777" w:rsidR="00FF52AC" w:rsidRPr="001C6327" w:rsidRDefault="00FF52AC" w:rsidP="001C6327">
            <w:pPr>
              <w:jc w:val="both"/>
              <w:rPr>
                <w:rFonts w:cs="Arial"/>
                <w:sz w:val="22"/>
              </w:rPr>
            </w:pPr>
            <w:r w:rsidRPr="001C6327">
              <w:rPr>
                <w:rFonts w:cs="Arial"/>
                <w:sz w:val="22"/>
              </w:rPr>
              <w:t xml:space="preserve">Centrum/platforma by měla pravidelně zajišťovat transfer informací a znalostí skrze školení, poradenství, pořádání workshopů na nejnovější technologie v oblasti polovodičů, nebo prostřednictvím expertů z dané oblasti poskytovat mentoringový program. Může také podpořit kolaborativní VaVaI aktivity, nebo průběžně mapovat a predikovat potřeby průmyslových partnerů, zajišťovat analýzu a identifikaci potřebných profesí v dosahu regionu a připravit roadmap nebo plán podpůrných aktivit. Centrum by mělo podporovat a rozvíjet činnosti pro inteligentní servisní služby, nikoliv samotný chip design. Centrum proto nepřebírá činnost národního kompetenčního centra pro rozvoj polovodičů a čipů, ale vhodně ji doplňuje na řádovostně nižší úrovni odpovídající podmínkám strukturálně postižených krajů.  Služby centra/platformy by pak měly být přístupné firmám, výzkumným institucím a jednotlivcům ze strukturálně postižených krajů, případně i zájemcům z ostatních krajů. Realizace aktivit bude průběžně vyhodnocována na základě zpětné vazby účastníků i dosažených výsledků. Zajištěno tak bude neustálé zlepšování nabízených služeb a přizpůsobování se aktuálním potřebám polovodičového průmyslu. </w:t>
            </w:r>
          </w:p>
          <w:p w14:paraId="5985A551" w14:textId="77777777" w:rsidR="00FF52AC" w:rsidRPr="001C6327" w:rsidRDefault="00FF52AC" w:rsidP="001C6327">
            <w:pPr>
              <w:jc w:val="both"/>
              <w:rPr>
                <w:rFonts w:cs="Arial"/>
                <w:sz w:val="22"/>
              </w:rPr>
            </w:pPr>
          </w:p>
          <w:bookmarkEnd w:id="60"/>
          <w:p w14:paraId="77240018" w14:textId="77777777" w:rsidR="00FF52AC" w:rsidRPr="001C6327" w:rsidRDefault="00FF52AC" w:rsidP="001C6327">
            <w:pPr>
              <w:jc w:val="both"/>
              <w:rPr>
                <w:rFonts w:cs="Arial"/>
                <w:bCs/>
                <w:color w:val="000000" w:themeColor="text1"/>
                <w:sz w:val="22"/>
              </w:rPr>
            </w:pPr>
          </w:p>
        </w:tc>
      </w:tr>
      <w:tr w:rsidR="00FF52AC" w:rsidRPr="001C6327" w14:paraId="64AEA112" w14:textId="77777777" w:rsidTr="00541D8B">
        <w:trPr>
          <w:trHeight w:val="813"/>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25463F" w14:textId="77777777" w:rsidR="00FF52AC" w:rsidRPr="001C6327" w:rsidRDefault="00FF52AC" w:rsidP="001C6327">
            <w:pPr>
              <w:spacing w:after="0" w:line="276" w:lineRule="auto"/>
              <w:rPr>
                <w:rFonts w:cs="Arial"/>
                <w:b/>
                <w:bCs/>
                <w:sz w:val="22"/>
              </w:rPr>
            </w:pPr>
            <w:bookmarkStart w:id="61" w:name="_Hlk174105343"/>
            <w:r w:rsidRPr="001C6327">
              <w:rPr>
                <w:rFonts w:cs="Arial"/>
                <w:b/>
                <w:bCs/>
                <w:sz w:val="22"/>
              </w:rPr>
              <w:lastRenderedPageBreak/>
              <w:t>Cíl programu/opatření</w:t>
            </w:r>
            <w:bookmarkEnd w:id="61"/>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04932F" w14:textId="77777777" w:rsidR="00FF52AC" w:rsidRPr="001C6327" w:rsidRDefault="00FF52AC" w:rsidP="001C6327">
            <w:pPr>
              <w:jc w:val="both"/>
              <w:rPr>
                <w:rFonts w:cs="Arial"/>
                <w:sz w:val="22"/>
              </w:rPr>
            </w:pPr>
            <w:bookmarkStart w:id="62" w:name="_Hlk174535360"/>
            <w:r w:rsidRPr="001C6327">
              <w:rPr>
                <w:rFonts w:cs="Arial"/>
                <w:sz w:val="22"/>
              </w:rPr>
              <w:t xml:space="preserve">Hlavním cílem je pokusit se nalézt finanční prostředky a všeobecnou podporu pro </w:t>
            </w:r>
            <w:r w:rsidRPr="001C6327">
              <w:rPr>
                <w:rFonts w:cs="Arial"/>
                <w:color w:val="000000"/>
                <w:sz w:val="22"/>
                <w:shd w:val="clear" w:color="auto" w:fill="FFFFFF"/>
              </w:rPr>
              <w:t xml:space="preserve">koordinaci přípravy a přípravu detailního a propracovaného návrhu na </w:t>
            </w:r>
            <w:r w:rsidRPr="001C6327">
              <w:rPr>
                <w:rFonts w:cs="Arial"/>
                <w:sz w:val="22"/>
              </w:rPr>
              <w:t>vytvoření</w:t>
            </w:r>
            <w:r w:rsidRPr="001C6327">
              <w:rPr>
                <w:rFonts w:cs="Arial"/>
                <w:b/>
                <w:bCs/>
                <w:sz w:val="22"/>
              </w:rPr>
              <w:t xml:space="preserve"> </w:t>
            </w:r>
            <w:r w:rsidRPr="001C6327">
              <w:rPr>
                <w:rFonts w:cs="Arial"/>
                <w:sz w:val="22"/>
              </w:rPr>
              <w:t xml:space="preserve">kompetenčního a tréninkového centra, či vzdělávací platformy orientované na sdílení a rozvoj znalostí potřebných pro rozvoj polovodičového hodnotového řetězce. </w:t>
            </w:r>
          </w:p>
          <w:p w14:paraId="4D8F6A09" w14:textId="77777777" w:rsidR="00FF52AC" w:rsidRPr="001C6327" w:rsidRDefault="00FF52AC" w:rsidP="001C6327">
            <w:pPr>
              <w:jc w:val="both"/>
              <w:rPr>
                <w:rFonts w:cs="Arial"/>
                <w:sz w:val="22"/>
              </w:rPr>
            </w:pPr>
            <w:r w:rsidRPr="001C6327">
              <w:rPr>
                <w:rFonts w:cs="Arial"/>
                <w:sz w:val="22"/>
              </w:rPr>
              <w:t xml:space="preserve">Realizace vlastního kompetenčního a vzdělávacího centra/platformy by v budoucnu měla navazovat na tuto přípravu, za předpokladu, že se pro ni zajistí podpora relevantních resortů i podpora finanční. </w:t>
            </w:r>
          </w:p>
          <w:p w14:paraId="11E3ADB2" w14:textId="77777777" w:rsidR="00FF52AC" w:rsidRPr="001C6327" w:rsidRDefault="00FF52AC" w:rsidP="001C6327">
            <w:pPr>
              <w:jc w:val="both"/>
              <w:rPr>
                <w:rFonts w:cs="Arial"/>
                <w:sz w:val="22"/>
              </w:rPr>
            </w:pPr>
            <w:r w:rsidRPr="001C6327">
              <w:rPr>
                <w:rFonts w:cs="Arial"/>
                <w:sz w:val="22"/>
              </w:rPr>
              <w:t>Cílem budoucího centra/platformy je pak budování a rozvoj znalostní základny, která je potřebná pro praktické využití nabitých znalostí v průmyslu. Toho by bylo dosaženo primárně prostřednictvím rozvíjení talentů a kvalifikovaných pracovníků (vč. tzv. reskillingu a upskillingu) firem s ambicí se zapojit do hodnotového řetězce polovodičů a čipů.</w:t>
            </w:r>
            <w:bookmarkEnd w:id="62"/>
            <w:r w:rsidRPr="001C6327">
              <w:rPr>
                <w:rFonts w:cs="Arial"/>
                <w:sz w:val="22"/>
              </w:rPr>
              <w:t xml:space="preserve"> </w:t>
            </w:r>
          </w:p>
          <w:p w14:paraId="668B31A5" w14:textId="77777777" w:rsidR="00FF52AC" w:rsidRPr="001C6327" w:rsidRDefault="00FF52AC" w:rsidP="001C6327">
            <w:pPr>
              <w:jc w:val="both"/>
              <w:rPr>
                <w:rFonts w:cs="Arial"/>
                <w:sz w:val="22"/>
              </w:rPr>
            </w:pPr>
            <w:r w:rsidRPr="001C6327">
              <w:rPr>
                <w:rFonts w:cs="Arial"/>
                <w:sz w:val="22"/>
              </w:rPr>
              <w:t xml:space="preserve">Opatření by mělo zlepšit konkurenceschopnost a nepřímo zastavit zaostávání strukturálně postižených krajů, proto by lokalizace </w:t>
            </w:r>
            <w:r w:rsidRPr="001C6327">
              <w:rPr>
                <w:rFonts w:cs="Arial"/>
                <w:sz w:val="22"/>
              </w:rPr>
              <w:lastRenderedPageBreak/>
              <w:t xml:space="preserve">budoucího centra, nebo platformy by měla být umístěna na území těchto krajů. </w:t>
            </w:r>
          </w:p>
          <w:p w14:paraId="04FC78B0" w14:textId="77777777" w:rsidR="00FF52AC" w:rsidRPr="001C6327" w:rsidRDefault="00FF52AC" w:rsidP="001C6327">
            <w:pPr>
              <w:jc w:val="both"/>
              <w:rPr>
                <w:rFonts w:cs="Arial"/>
                <w:sz w:val="22"/>
              </w:rPr>
            </w:pPr>
          </w:p>
        </w:tc>
      </w:tr>
      <w:tr w:rsidR="00FF52AC" w:rsidRPr="001C6327" w14:paraId="3CBC28B0" w14:textId="77777777" w:rsidTr="001C6327">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662507" w14:textId="77777777" w:rsidR="00FF52AC" w:rsidRPr="001C6327" w:rsidRDefault="00FF52AC" w:rsidP="001C6327">
            <w:pPr>
              <w:spacing w:after="0" w:line="276" w:lineRule="auto"/>
              <w:rPr>
                <w:rFonts w:cs="Arial"/>
                <w:b/>
                <w:bCs/>
                <w:sz w:val="22"/>
              </w:rPr>
            </w:pPr>
            <w:r w:rsidRPr="001C6327">
              <w:rPr>
                <w:rFonts w:cs="Arial"/>
                <w:b/>
                <w:bCs/>
                <w:sz w:val="22"/>
              </w:rPr>
              <w:lastRenderedPageBreak/>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BA75030" w14:textId="77777777" w:rsidR="00FF52AC" w:rsidRPr="001C6327" w:rsidRDefault="00FF52AC" w:rsidP="001C6327">
            <w:pPr>
              <w:spacing w:after="0" w:line="276" w:lineRule="auto"/>
              <w:rPr>
                <w:rFonts w:cs="Arial"/>
                <w:bCs/>
                <w:sz w:val="22"/>
              </w:rPr>
            </w:pPr>
          </w:p>
        </w:tc>
      </w:tr>
      <w:tr w:rsidR="00FF52AC" w:rsidRPr="001C6327" w14:paraId="3BB6BBB7" w14:textId="77777777" w:rsidTr="001C6327">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71CD51" w14:textId="77777777" w:rsidR="00FF52AC" w:rsidRPr="001C6327" w:rsidRDefault="00FF52AC" w:rsidP="001C6327">
            <w:pPr>
              <w:spacing w:after="0" w:line="276" w:lineRule="auto"/>
              <w:rPr>
                <w:rFonts w:cs="Arial"/>
                <w:b/>
                <w:bCs/>
                <w:sz w:val="22"/>
              </w:rPr>
            </w:pPr>
            <w:r w:rsidRPr="001C6327">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DE6D0D" w14:textId="77777777" w:rsidR="00FF52AC" w:rsidRPr="001C6327" w:rsidRDefault="00FF52AC" w:rsidP="001C6327">
            <w:pPr>
              <w:spacing w:after="0" w:line="276" w:lineRule="auto"/>
              <w:rPr>
                <w:rFonts w:cs="Arial"/>
                <w:b/>
                <w:bCs/>
                <w:sz w:val="22"/>
              </w:rPr>
            </w:pPr>
            <w:r w:rsidRPr="001C6327">
              <w:rPr>
                <w:rFonts w:cs="Arial"/>
                <w:b/>
                <w:bCs/>
                <w:sz w:val="22"/>
              </w:rPr>
              <w:t xml:space="preserve">Od </w:t>
            </w:r>
            <w:r w:rsidRPr="001C6327">
              <w:rPr>
                <w:rFonts w:cs="Arial"/>
                <w:sz w:val="22"/>
              </w:rPr>
              <w:t>2025</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0A5049" w14:textId="77777777" w:rsidR="00FF52AC" w:rsidRPr="001C6327" w:rsidRDefault="00FF52AC" w:rsidP="001C6327">
            <w:pPr>
              <w:spacing w:after="0" w:line="276" w:lineRule="auto"/>
              <w:rPr>
                <w:rFonts w:cs="Arial"/>
                <w:b/>
                <w:bCs/>
                <w:sz w:val="22"/>
              </w:rPr>
            </w:pPr>
            <w:r w:rsidRPr="001C6327">
              <w:rPr>
                <w:rFonts w:cs="Arial"/>
                <w:b/>
                <w:bCs/>
                <w:sz w:val="22"/>
              </w:rPr>
              <w:t xml:space="preserve">Do </w:t>
            </w:r>
            <w:r w:rsidRPr="001C6327">
              <w:rPr>
                <w:rFonts w:cs="Arial"/>
                <w:sz w:val="22"/>
              </w:rPr>
              <w:t>2027</w:t>
            </w:r>
          </w:p>
        </w:tc>
      </w:tr>
      <w:tr w:rsidR="00FF52AC" w:rsidRPr="001C6327" w14:paraId="74FF81E3" w14:textId="77777777" w:rsidTr="001C6327">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4C21FC" w14:textId="77777777" w:rsidR="00FF52AC" w:rsidRPr="001C6327" w:rsidRDefault="00FF52AC" w:rsidP="001C6327">
            <w:pPr>
              <w:spacing w:after="0" w:line="276" w:lineRule="auto"/>
              <w:rPr>
                <w:rFonts w:cs="Arial"/>
                <w:b/>
                <w:bCs/>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C0BDD4" w14:textId="77777777" w:rsidR="00FF52AC" w:rsidRPr="001C6327" w:rsidRDefault="00FF52AC" w:rsidP="001C6327">
            <w:pPr>
              <w:spacing w:after="0" w:line="276" w:lineRule="auto"/>
              <w:rPr>
                <w:rFonts w:cs="Arial"/>
                <w:bCs/>
                <w:color w:val="000000" w:themeColor="text1"/>
                <w:sz w:val="22"/>
              </w:rPr>
            </w:pP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3F3C77" w14:textId="77777777" w:rsidR="00FF52AC" w:rsidRPr="001C6327" w:rsidRDefault="00FF52AC" w:rsidP="001C6327">
            <w:pPr>
              <w:spacing w:after="0" w:line="276" w:lineRule="auto"/>
              <w:rPr>
                <w:rFonts w:cs="Arial"/>
                <w:bCs/>
                <w:color w:val="000000" w:themeColor="text1"/>
                <w:sz w:val="22"/>
              </w:rPr>
            </w:pPr>
          </w:p>
        </w:tc>
      </w:tr>
      <w:tr w:rsidR="00FF52AC" w:rsidRPr="001C6327" w14:paraId="2B4A1547" w14:textId="77777777" w:rsidTr="001C6327">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26C772" w14:textId="77777777" w:rsidR="00FF52AC" w:rsidRPr="001C6327" w:rsidRDefault="00FF52AC" w:rsidP="001C6327">
            <w:pPr>
              <w:spacing w:after="0" w:line="276" w:lineRule="auto"/>
              <w:rPr>
                <w:rFonts w:cs="Arial"/>
                <w:b/>
                <w:bCs/>
                <w:sz w:val="22"/>
              </w:rPr>
            </w:pPr>
            <w:r w:rsidRPr="001C6327">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BE1C22" w14:textId="77777777" w:rsidR="00FF52AC" w:rsidRPr="001C6327" w:rsidRDefault="00FF52AC" w:rsidP="001C6327">
            <w:pPr>
              <w:spacing w:after="0" w:line="276" w:lineRule="auto"/>
              <w:rPr>
                <w:rFonts w:cs="Arial"/>
                <w:b/>
                <w:bCs/>
                <w:sz w:val="22"/>
              </w:rPr>
            </w:pPr>
            <w:r w:rsidRPr="001C6327">
              <w:rPr>
                <w:rFonts w:cs="Arial"/>
                <w:b/>
                <w:bCs/>
                <w:sz w:val="22"/>
              </w:rPr>
              <w:t>Organizace</w:t>
            </w:r>
          </w:p>
        </w:tc>
      </w:tr>
      <w:tr w:rsidR="00FF52AC" w:rsidRPr="001C6327" w14:paraId="3C1FD26E" w14:textId="77777777" w:rsidTr="001C6327">
        <w:trPr>
          <w:trHeight w:val="68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1EFEDD" w14:textId="77777777" w:rsidR="00FF52AC" w:rsidRPr="001C6327" w:rsidRDefault="00FF52AC" w:rsidP="001C6327">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24355C" w14:textId="77777777" w:rsidR="00FF52AC" w:rsidRPr="001C6327" w:rsidRDefault="00FF52AC" w:rsidP="001C6327">
            <w:pPr>
              <w:spacing w:after="0" w:line="276" w:lineRule="auto"/>
              <w:rPr>
                <w:rFonts w:cs="Arial"/>
                <w:bCs/>
                <w:sz w:val="22"/>
              </w:rPr>
            </w:pPr>
            <w:r w:rsidRPr="001C6327">
              <w:rPr>
                <w:rFonts w:cs="Arial"/>
                <w:bCs/>
                <w:sz w:val="22"/>
              </w:rPr>
              <w:t>MMR, MŽP, MPO</w:t>
            </w:r>
          </w:p>
        </w:tc>
      </w:tr>
      <w:tr w:rsidR="00FF52AC" w:rsidRPr="001C6327" w14:paraId="01EB1E08" w14:textId="77777777" w:rsidTr="001C6327">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D88ECB" w14:textId="77777777" w:rsidR="00FF52AC" w:rsidRPr="001C6327" w:rsidRDefault="00FF52AC" w:rsidP="001C6327">
            <w:pPr>
              <w:spacing w:after="0" w:line="276" w:lineRule="auto"/>
              <w:rPr>
                <w:rFonts w:cs="Arial"/>
                <w:b/>
                <w:bCs/>
                <w:sz w:val="22"/>
              </w:rPr>
            </w:pPr>
            <w:r w:rsidRPr="001C6327">
              <w:rPr>
                <w:rFonts w:cs="Arial"/>
                <w:b/>
                <w:bCs/>
                <w:sz w:val="22"/>
              </w:rPr>
              <w:t>Rozpočet (odhad)</w:t>
            </w:r>
          </w:p>
          <w:p w14:paraId="2DEACA81" w14:textId="77777777" w:rsidR="00FF52AC" w:rsidRPr="001C6327" w:rsidRDefault="00FF52AC" w:rsidP="001C6327">
            <w:pPr>
              <w:spacing w:after="0" w:line="276" w:lineRule="auto"/>
              <w:rPr>
                <w:rFonts w:cs="Arial"/>
                <w:bCs/>
                <w:sz w:val="22"/>
              </w:rPr>
            </w:pPr>
            <w:r w:rsidRPr="001C6327">
              <w:rPr>
                <w:rFonts w:cs="Arial"/>
                <w:bCs/>
                <w:i/>
                <w:sz w:val="22"/>
              </w:rPr>
              <w:t>na realizaci nebo na přípravu v případě, kdy se opatření připravuje pro další akční plán</w:t>
            </w:r>
            <w:r w:rsidRPr="001C6327">
              <w:rPr>
                <w:rFonts w:cs="Arial"/>
                <w:bCs/>
                <w:sz w:val="22"/>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6778A7" w14:textId="77777777" w:rsidR="00FF52AC" w:rsidRPr="001C6327" w:rsidRDefault="00FF52AC" w:rsidP="001C6327">
            <w:pPr>
              <w:spacing w:after="0" w:line="276" w:lineRule="auto"/>
              <w:rPr>
                <w:rFonts w:cs="Arial"/>
                <w:b/>
                <w:sz w:val="22"/>
              </w:rPr>
            </w:pPr>
            <w:r w:rsidRPr="001C6327">
              <w:rPr>
                <w:rFonts w:cs="Arial"/>
                <w:b/>
                <w:bCs/>
                <w:sz w:val="22"/>
              </w:rPr>
              <w:t>Objem (Kč) na celé období realizace</w:t>
            </w:r>
            <w:r w:rsidRPr="001C6327">
              <w:rPr>
                <w:rFonts w:cs="Arial"/>
                <w:bCs/>
                <w:i/>
                <w:sz w:val="22"/>
              </w:rPr>
              <w:t xml:space="preserve"> </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8C6493" w14:textId="77777777" w:rsidR="00FF52AC" w:rsidRPr="001C6327" w:rsidRDefault="00FF52AC" w:rsidP="001C6327">
            <w:pPr>
              <w:spacing w:after="0" w:line="276" w:lineRule="auto"/>
              <w:rPr>
                <w:rFonts w:cs="Arial"/>
                <w:b/>
                <w:bCs/>
                <w:sz w:val="22"/>
              </w:rPr>
            </w:pPr>
            <w:r w:rsidRPr="001C6327">
              <w:rPr>
                <w:rFonts w:cs="Arial"/>
                <w:b/>
                <w:bCs/>
                <w:sz w:val="22"/>
              </w:rPr>
              <w:t xml:space="preserve">Předpokládané zdroje financování </w:t>
            </w:r>
          </w:p>
          <w:p w14:paraId="4BFB474C" w14:textId="77777777" w:rsidR="00FF52AC" w:rsidRPr="001C6327" w:rsidRDefault="00FF52AC" w:rsidP="001C6327">
            <w:pPr>
              <w:spacing w:after="0" w:line="276" w:lineRule="auto"/>
              <w:jc w:val="both"/>
              <w:rPr>
                <w:rFonts w:cs="Arial"/>
                <w:bCs/>
                <w:iCs/>
                <w:sz w:val="22"/>
              </w:rPr>
            </w:pPr>
            <w:r w:rsidRPr="001C6327">
              <w:rPr>
                <w:rFonts w:cs="Arial"/>
                <w:bCs/>
                <w:iCs/>
                <w:sz w:val="22"/>
              </w:rPr>
              <w:t>OPST</w:t>
            </w:r>
          </w:p>
        </w:tc>
      </w:tr>
      <w:tr w:rsidR="00FF52AC" w:rsidRPr="001C6327" w14:paraId="49E13C3A" w14:textId="77777777" w:rsidTr="001C6327">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EBD034" w14:textId="77777777" w:rsidR="00FF52AC" w:rsidRPr="001C6327" w:rsidRDefault="00FF52AC" w:rsidP="001C6327">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9F36AD" w14:textId="77777777" w:rsidR="00FF52AC" w:rsidRPr="001C6327" w:rsidRDefault="00FF52AC" w:rsidP="001C6327">
            <w:pPr>
              <w:spacing w:after="0" w:line="276" w:lineRule="auto"/>
              <w:rPr>
                <w:rFonts w:cs="Arial"/>
                <w:bCs/>
                <w:sz w:val="22"/>
              </w:rPr>
            </w:pP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018F40" w14:textId="77777777" w:rsidR="00FF52AC" w:rsidRPr="001C6327" w:rsidRDefault="00FF52AC" w:rsidP="001C6327">
            <w:pPr>
              <w:spacing w:after="0" w:line="276" w:lineRule="auto"/>
              <w:rPr>
                <w:rFonts w:cs="Arial"/>
                <w:bCs/>
                <w:sz w:val="22"/>
              </w:rPr>
            </w:pPr>
          </w:p>
        </w:tc>
      </w:tr>
      <w:tr w:rsidR="00FF52AC" w:rsidRPr="001C6327" w14:paraId="32A57813" w14:textId="77777777" w:rsidTr="001C6327">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D05CD4" w14:textId="77777777" w:rsidR="00FF52AC" w:rsidRPr="001C6327" w:rsidRDefault="00FF52AC" w:rsidP="001C6327">
            <w:pPr>
              <w:spacing w:after="0" w:line="276" w:lineRule="auto"/>
              <w:rPr>
                <w:rFonts w:cs="Arial"/>
                <w:b/>
                <w:bCs/>
                <w:sz w:val="22"/>
              </w:rPr>
            </w:pPr>
            <w:r w:rsidRPr="001C6327">
              <w:rPr>
                <w:rFonts w:cs="Arial"/>
                <w:b/>
                <w:bCs/>
                <w:sz w:val="22"/>
              </w:rPr>
              <w:t xml:space="preserve">Příprava programu/opatření </w:t>
            </w:r>
          </w:p>
          <w:p w14:paraId="3486101A" w14:textId="77777777" w:rsidR="00FF52AC" w:rsidRPr="001C6327" w:rsidRDefault="00FF52AC" w:rsidP="001C6327">
            <w:pPr>
              <w:spacing w:after="0" w:line="276" w:lineRule="auto"/>
              <w:rPr>
                <w:rFonts w:cs="Arial"/>
                <w:sz w:val="22"/>
              </w:rPr>
            </w:pPr>
            <w:r w:rsidRPr="001C6327">
              <w:rPr>
                <w:rFonts w:cs="Arial"/>
                <w:b/>
                <w:bCs/>
                <w:sz w:val="22"/>
              </w:rPr>
              <w:t>nebo objem prostředků na realizaci pro rok 2025 a 2026</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247C2E" w14:textId="77777777" w:rsidR="00FF52AC" w:rsidRPr="001C6327" w:rsidRDefault="00FF52AC" w:rsidP="001C6327">
            <w:pPr>
              <w:spacing w:after="0" w:line="276" w:lineRule="auto"/>
              <w:rPr>
                <w:rFonts w:cs="Arial"/>
                <w:b/>
                <w:bCs/>
                <w:sz w:val="22"/>
              </w:rPr>
            </w:pPr>
            <w:r w:rsidRPr="001C6327">
              <w:rPr>
                <w:rFonts w:cs="Arial"/>
                <w:b/>
                <w:bCs/>
                <w:sz w:val="22"/>
              </w:rPr>
              <w:t>2025</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BCB62C" w14:textId="77777777" w:rsidR="00FF52AC" w:rsidRPr="001C6327" w:rsidRDefault="00FF52AC" w:rsidP="001C6327">
            <w:pPr>
              <w:spacing w:after="0" w:line="276" w:lineRule="auto"/>
              <w:rPr>
                <w:rFonts w:cs="Arial"/>
                <w:bCs/>
                <w:sz w:val="22"/>
              </w:rPr>
            </w:pPr>
            <w:r w:rsidRPr="001C6327">
              <w:rPr>
                <w:rFonts w:cs="Arial"/>
                <w:bCs/>
                <w:sz w:val="22"/>
              </w:rPr>
              <w:t>4 mil. Kč</w:t>
            </w:r>
          </w:p>
        </w:tc>
      </w:tr>
      <w:tr w:rsidR="00FF52AC" w:rsidRPr="001C6327" w14:paraId="0D11EEFE" w14:textId="77777777" w:rsidTr="001C6327">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FC2C53" w14:textId="77777777" w:rsidR="00FF52AC" w:rsidRPr="001C6327" w:rsidRDefault="00FF52AC" w:rsidP="001C6327">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3D2134" w14:textId="77777777" w:rsidR="00FF52AC" w:rsidRPr="001C6327" w:rsidRDefault="00FF52AC" w:rsidP="001C6327">
            <w:pPr>
              <w:spacing w:after="0" w:line="276" w:lineRule="auto"/>
              <w:rPr>
                <w:rFonts w:cs="Arial"/>
                <w:bCs/>
                <w:sz w:val="22"/>
              </w:rPr>
            </w:pPr>
            <w:r w:rsidRPr="001C6327">
              <w:rPr>
                <w:rFonts w:cs="Arial"/>
                <w:bCs/>
                <w:sz w:val="22"/>
              </w:rPr>
              <w:t>2026</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2F9273" w14:textId="77777777" w:rsidR="00FF52AC" w:rsidRPr="001C6327" w:rsidRDefault="00FF52AC" w:rsidP="001C6327">
            <w:pPr>
              <w:spacing w:after="0" w:line="276" w:lineRule="auto"/>
              <w:rPr>
                <w:rFonts w:cs="Arial"/>
                <w:bCs/>
                <w:sz w:val="22"/>
              </w:rPr>
            </w:pPr>
            <w:r w:rsidRPr="001C6327">
              <w:rPr>
                <w:rFonts w:cs="Arial"/>
                <w:color w:val="000000"/>
                <w:sz w:val="22"/>
                <w:bdr w:val="none" w:sz="0" w:space="0" w:color="auto" w:frame="1"/>
              </w:rPr>
              <w:t>4 mil. Kč</w:t>
            </w:r>
          </w:p>
        </w:tc>
      </w:tr>
      <w:tr w:rsidR="00FF52AC" w:rsidRPr="001C6327" w14:paraId="5AFDF617" w14:textId="77777777" w:rsidTr="00541D8B">
        <w:trPr>
          <w:trHeight w:val="1152"/>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0A3602" w14:textId="77777777" w:rsidR="00FF52AC" w:rsidRPr="001C6327" w:rsidRDefault="00FF52AC" w:rsidP="001C6327">
            <w:pPr>
              <w:spacing w:after="0" w:line="276" w:lineRule="auto"/>
              <w:rPr>
                <w:rFonts w:cs="Arial"/>
                <w:bCs/>
                <w:sz w:val="22"/>
              </w:rPr>
            </w:pPr>
            <w:r w:rsidRPr="001C6327">
              <w:rPr>
                <w:rFonts w:cs="Arial"/>
                <w:b/>
                <w:bCs/>
                <w:sz w:val="22"/>
              </w:rPr>
              <w:t>Provozní náklady (odhad)</w:t>
            </w:r>
            <w:r w:rsidRPr="001C6327">
              <w:rPr>
                <w:rFonts w:cs="Arial"/>
                <w:bCs/>
                <w:sz w:val="22"/>
              </w:rPr>
              <w:t xml:space="preserve"> </w:t>
            </w:r>
            <w:r w:rsidRPr="001C6327">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C692E4" w14:textId="77777777" w:rsidR="00FF52AC" w:rsidRPr="001C6327" w:rsidRDefault="00FF52AC" w:rsidP="001C6327">
            <w:pPr>
              <w:spacing w:after="0" w:line="276" w:lineRule="auto"/>
              <w:rPr>
                <w:rFonts w:cs="Arial"/>
                <w:bCs/>
                <w:sz w:val="22"/>
              </w:rPr>
            </w:pPr>
          </w:p>
        </w:tc>
      </w:tr>
    </w:tbl>
    <w:p w14:paraId="3CBACC0A" w14:textId="77777777" w:rsidR="00FF52AC" w:rsidRPr="00FF52AC" w:rsidRDefault="00FF52AC" w:rsidP="00FF52AC"/>
    <w:p w14:paraId="55E756F1" w14:textId="77777777" w:rsidR="00FF52AC" w:rsidRDefault="00FF52AC" w:rsidP="00FF52AC">
      <w:pPr>
        <w:rPr>
          <w:highlight w:val="yellow"/>
        </w:rPr>
      </w:pPr>
    </w:p>
    <w:p w14:paraId="652A011C" w14:textId="77777777" w:rsidR="005340E7" w:rsidRDefault="005340E7" w:rsidP="00FF52AC">
      <w:pPr>
        <w:rPr>
          <w:highlight w:val="yellow"/>
        </w:rPr>
      </w:pPr>
    </w:p>
    <w:p w14:paraId="554D86DA" w14:textId="77777777" w:rsidR="005340E7" w:rsidRDefault="005340E7" w:rsidP="00FF52AC">
      <w:pPr>
        <w:rPr>
          <w:highlight w:val="yellow"/>
        </w:rPr>
      </w:pPr>
    </w:p>
    <w:p w14:paraId="77FF344D" w14:textId="77777777" w:rsidR="00541D8B" w:rsidRDefault="00541D8B" w:rsidP="00FF52AC">
      <w:pPr>
        <w:rPr>
          <w:highlight w:val="yellow"/>
        </w:rPr>
      </w:pPr>
    </w:p>
    <w:p w14:paraId="04FB3D90" w14:textId="77777777" w:rsidR="00541D8B" w:rsidRDefault="00541D8B" w:rsidP="00FF52AC">
      <w:pPr>
        <w:rPr>
          <w:highlight w:val="yellow"/>
        </w:rPr>
      </w:pPr>
    </w:p>
    <w:p w14:paraId="75EAA1C0" w14:textId="77777777" w:rsidR="00541D8B" w:rsidRDefault="00541D8B" w:rsidP="00FF52AC">
      <w:pPr>
        <w:rPr>
          <w:highlight w:val="yellow"/>
        </w:rPr>
      </w:pPr>
    </w:p>
    <w:p w14:paraId="174D1803" w14:textId="77777777" w:rsidR="00541D8B" w:rsidRDefault="00541D8B" w:rsidP="00FF52AC">
      <w:pPr>
        <w:rPr>
          <w:highlight w:val="yellow"/>
        </w:rPr>
      </w:pPr>
    </w:p>
    <w:p w14:paraId="022342F6" w14:textId="77777777" w:rsidR="00541D8B" w:rsidRDefault="00541D8B" w:rsidP="00FF52AC">
      <w:pPr>
        <w:rPr>
          <w:highlight w:val="yellow"/>
        </w:rPr>
      </w:pPr>
    </w:p>
    <w:p w14:paraId="06F4BE67" w14:textId="77777777" w:rsidR="00541D8B" w:rsidRDefault="00541D8B" w:rsidP="00FF52AC">
      <w:pPr>
        <w:rPr>
          <w:highlight w:val="yellow"/>
        </w:rPr>
      </w:pPr>
    </w:p>
    <w:p w14:paraId="62973D51" w14:textId="77777777" w:rsidR="005340E7" w:rsidRPr="00FF52AC" w:rsidRDefault="005340E7" w:rsidP="00FF52AC">
      <w:pPr>
        <w:rPr>
          <w:highlight w:val="yellow"/>
        </w:rPr>
      </w:pPr>
    </w:p>
    <w:p w14:paraId="17ABF92E" w14:textId="0968D596" w:rsidR="00231C95" w:rsidRDefault="00B65C98" w:rsidP="0036772B">
      <w:pPr>
        <w:pStyle w:val="Nadpis1"/>
        <w:numPr>
          <w:ilvl w:val="0"/>
          <w:numId w:val="3"/>
        </w:numPr>
        <w:rPr>
          <w:rFonts w:cs="Arial"/>
        </w:rPr>
      </w:pPr>
      <w:bookmarkStart w:id="63" w:name="_Toc175743063"/>
      <w:r w:rsidRPr="00DF6076">
        <w:rPr>
          <w:rFonts w:cs="Arial"/>
        </w:rPr>
        <w:lastRenderedPageBreak/>
        <w:t>Pilíř F – Životní prostředí</w:t>
      </w:r>
      <w:bookmarkEnd w:id="52"/>
      <w:bookmarkEnd w:id="53"/>
      <w:bookmarkEnd w:id="54"/>
      <w:bookmarkEnd w:id="63"/>
    </w:p>
    <w:p w14:paraId="15D69E68" w14:textId="77777777" w:rsidR="007006B2" w:rsidRPr="007006B2" w:rsidRDefault="007006B2" w:rsidP="007006B2"/>
    <w:p w14:paraId="5214B202" w14:textId="2134423A" w:rsidR="00A604C9" w:rsidRPr="001C2A0D" w:rsidRDefault="7FF59534" w:rsidP="0036772B">
      <w:pPr>
        <w:pStyle w:val="Nadpis2"/>
        <w:spacing w:line="276" w:lineRule="auto"/>
      </w:pPr>
      <w:bookmarkStart w:id="64" w:name="_Toc479589486"/>
      <w:bookmarkStart w:id="65" w:name="_Toc486595511"/>
      <w:bookmarkStart w:id="66" w:name="_Toc515874886"/>
      <w:bookmarkStart w:id="67" w:name="_Toc515874887"/>
      <w:bookmarkStart w:id="68" w:name="_Toc175743064"/>
      <w:r>
        <w:t>F.2 Regenerovat rozvojová, deprivovaná nebo periferní území v sídlech s vysokou koncentrací obyvatel</w:t>
      </w:r>
      <w:bookmarkEnd w:id="64"/>
      <w:bookmarkEnd w:id="65"/>
      <w:bookmarkEnd w:id="66"/>
      <w:bookmarkEnd w:id="67"/>
      <w:bookmarkEnd w:id="68"/>
    </w:p>
    <w:p w14:paraId="7EFDCC4B" w14:textId="7706C53C" w:rsidR="00A604C9" w:rsidRPr="007006B2" w:rsidRDefault="00A604C9" w:rsidP="007006B2">
      <w:pPr>
        <w:pStyle w:val="Nadpis3"/>
      </w:pPr>
      <w:bookmarkStart w:id="69" w:name="_Toc175743065"/>
      <w:r w:rsidRPr="007006B2">
        <w:t>V</w:t>
      </w:r>
      <w:r w:rsidR="00666995" w:rsidRPr="007006B2">
        <w:t>I</w:t>
      </w:r>
      <w:r w:rsidRPr="007006B2">
        <w:t>.F.2.</w:t>
      </w:r>
      <w:r w:rsidR="00666995" w:rsidRPr="007006B2">
        <w:t>1</w:t>
      </w:r>
      <w:r w:rsidRPr="007006B2">
        <w:t xml:space="preserve"> </w:t>
      </w:r>
      <w:r w:rsidR="00871E47" w:rsidRPr="007006B2">
        <w:t>Demolice v sociálně vyloučených lokalitách</w:t>
      </w:r>
      <w:bookmarkEnd w:id="69"/>
      <w:r w:rsidRPr="007006B2">
        <w:t xml:space="preserve"> </w:t>
      </w:r>
    </w:p>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468"/>
      </w:tblGrid>
      <w:tr w:rsidR="00A604C9" w:rsidRPr="0017795C" w14:paraId="1373DD4C" w14:textId="77777777" w:rsidTr="00231C95">
        <w:trPr>
          <w:trHeight w:val="1358"/>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699343B8" w14:textId="77777777" w:rsidR="00A604C9" w:rsidRPr="0017795C" w:rsidRDefault="00A604C9" w:rsidP="00A604C9">
            <w:pPr>
              <w:spacing w:after="0" w:line="276" w:lineRule="auto"/>
              <w:rPr>
                <w:rFonts w:cs="Arial"/>
                <w:b/>
                <w:bCs/>
                <w:sz w:val="22"/>
              </w:rPr>
            </w:pPr>
            <w:r w:rsidRPr="0017795C">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4ADAEB0" w14:textId="77777777" w:rsidR="00A604C9" w:rsidRPr="00DA3833" w:rsidRDefault="00A604C9" w:rsidP="00A604C9">
            <w:pPr>
              <w:spacing w:after="0"/>
              <w:jc w:val="both"/>
              <w:rPr>
                <w:rFonts w:cs="Arial"/>
                <w:b/>
                <w:bCs/>
                <w:iCs/>
                <w:sz w:val="22"/>
              </w:rPr>
            </w:pPr>
            <w:r w:rsidRPr="00DA3833">
              <w:rPr>
                <w:rFonts w:cs="Arial"/>
                <w:b/>
                <w:bCs/>
                <w:iCs/>
                <w:sz w:val="22"/>
              </w:rPr>
              <w:t>Vláda ČR ukládá:</w:t>
            </w:r>
          </w:p>
          <w:p w14:paraId="31AEC252" w14:textId="27C588E0" w:rsidR="00871E47" w:rsidRPr="00DA3833" w:rsidRDefault="00871E47" w:rsidP="00871E47">
            <w:pPr>
              <w:spacing w:after="0" w:line="276" w:lineRule="auto"/>
              <w:jc w:val="both"/>
              <w:rPr>
                <w:rFonts w:cs="Arial"/>
                <w:b/>
                <w:iCs/>
                <w:color w:val="000000"/>
                <w:sz w:val="22"/>
              </w:rPr>
            </w:pPr>
            <w:r w:rsidRPr="00DA3833">
              <w:rPr>
                <w:rFonts w:cs="Arial"/>
                <w:b/>
                <w:iCs/>
                <w:color w:val="000000"/>
                <w:sz w:val="22"/>
              </w:rPr>
              <w:t>ministr</w:t>
            </w:r>
            <w:r w:rsidR="00CD1A9A" w:rsidRPr="00DA3833">
              <w:rPr>
                <w:rFonts w:cs="Arial"/>
                <w:b/>
                <w:iCs/>
                <w:color w:val="000000"/>
                <w:sz w:val="22"/>
              </w:rPr>
              <w:t>u</w:t>
            </w:r>
            <w:r w:rsidRPr="00DA3833">
              <w:rPr>
                <w:rFonts w:cs="Arial"/>
                <w:b/>
                <w:iCs/>
                <w:color w:val="000000"/>
                <w:sz w:val="22"/>
              </w:rPr>
              <w:t xml:space="preserve"> pro místní rozvoj </w:t>
            </w:r>
          </w:p>
          <w:p w14:paraId="2B87CA97" w14:textId="19E7AFBB" w:rsidR="00A604C9" w:rsidRPr="00A604C9" w:rsidRDefault="00871E47" w:rsidP="00871E47">
            <w:pPr>
              <w:pStyle w:val="Odstavecseseznamem"/>
              <w:numPr>
                <w:ilvl w:val="0"/>
                <w:numId w:val="4"/>
              </w:numPr>
              <w:spacing w:after="0" w:line="276" w:lineRule="auto"/>
              <w:jc w:val="both"/>
              <w:rPr>
                <w:rFonts w:cs="Arial"/>
                <w:bCs/>
                <w:iCs/>
                <w:sz w:val="22"/>
              </w:rPr>
            </w:pPr>
            <w:r w:rsidRPr="00DA3833">
              <w:rPr>
                <w:rFonts w:cs="Arial"/>
                <w:iCs/>
                <w:color w:val="000000"/>
                <w:sz w:val="22"/>
              </w:rPr>
              <w:t>vyhlásit dotační titul Demolice budov v sociálně vyloučených lokalitách v období 2025-202</w:t>
            </w:r>
            <w:r w:rsidR="00666995" w:rsidRPr="00DA3833">
              <w:rPr>
                <w:rFonts w:cs="Arial"/>
                <w:iCs/>
                <w:color w:val="000000"/>
                <w:sz w:val="22"/>
              </w:rPr>
              <w:t>8</w:t>
            </w:r>
          </w:p>
        </w:tc>
      </w:tr>
      <w:tr w:rsidR="00A604C9" w:rsidRPr="0017795C" w14:paraId="14F41CB4" w14:textId="77777777" w:rsidTr="001C2A0D">
        <w:trPr>
          <w:trHeight w:val="323"/>
        </w:trPr>
        <w:tc>
          <w:tcPr>
            <w:tcW w:w="2552" w:type="dxa"/>
            <w:tcBorders>
              <w:top w:val="single" w:sz="18" w:space="0" w:color="000001"/>
              <w:left w:val="single" w:sz="4" w:space="0" w:color="000001"/>
              <w:bottom w:val="single" w:sz="18" w:space="0" w:color="auto"/>
              <w:right w:val="single" w:sz="4" w:space="0" w:color="000001"/>
            </w:tcBorders>
            <w:shd w:val="clear" w:color="auto" w:fill="auto"/>
            <w:tcMar>
              <w:left w:w="108" w:type="dxa"/>
            </w:tcMar>
          </w:tcPr>
          <w:p w14:paraId="5EFD694D" w14:textId="77777777" w:rsidR="00A604C9" w:rsidRPr="0017795C" w:rsidRDefault="00A604C9" w:rsidP="00A604C9">
            <w:pPr>
              <w:spacing w:after="0" w:line="276" w:lineRule="auto"/>
              <w:rPr>
                <w:rFonts w:cs="Arial"/>
                <w:b/>
                <w:bCs/>
                <w:sz w:val="22"/>
              </w:rPr>
            </w:pPr>
            <w:r w:rsidRPr="0017795C">
              <w:rPr>
                <w:rFonts w:cs="Arial"/>
                <w:b/>
                <w:bCs/>
                <w:sz w:val="22"/>
              </w:rPr>
              <w:t>Pilíř/pilíře</w:t>
            </w:r>
          </w:p>
        </w:tc>
        <w:tc>
          <w:tcPr>
            <w:tcW w:w="6799" w:type="dxa"/>
            <w:gridSpan w:val="3"/>
            <w:tcBorders>
              <w:top w:val="single" w:sz="18" w:space="0" w:color="000001"/>
              <w:left w:val="single" w:sz="4" w:space="0" w:color="000001"/>
              <w:bottom w:val="single" w:sz="18" w:space="0" w:color="auto"/>
              <w:right w:val="single" w:sz="4" w:space="0" w:color="000001"/>
            </w:tcBorders>
            <w:shd w:val="clear" w:color="auto" w:fill="auto"/>
            <w:tcMar>
              <w:left w:w="108" w:type="dxa"/>
            </w:tcMar>
          </w:tcPr>
          <w:p w14:paraId="3ABD8DC2" w14:textId="79BAE4F9" w:rsidR="00A604C9" w:rsidRPr="00A604C9" w:rsidRDefault="00A604C9" w:rsidP="00A604C9">
            <w:pPr>
              <w:spacing w:after="0"/>
              <w:rPr>
                <w:rFonts w:eastAsia="Calibri" w:cs="Arial"/>
                <w:iCs/>
                <w:sz w:val="22"/>
              </w:rPr>
            </w:pPr>
            <w:r w:rsidRPr="00A604C9">
              <w:rPr>
                <w:rFonts w:cs="Arial"/>
                <w:bCs/>
                <w:iCs/>
                <w:sz w:val="22"/>
              </w:rPr>
              <w:t>Pilíř F – Životní prostředí</w:t>
            </w:r>
          </w:p>
        </w:tc>
      </w:tr>
      <w:tr w:rsidR="00A604C9" w:rsidRPr="0017795C" w14:paraId="0E943704" w14:textId="77777777" w:rsidTr="001C2A0D">
        <w:trPr>
          <w:trHeight w:val="321"/>
        </w:trPr>
        <w:tc>
          <w:tcPr>
            <w:tcW w:w="2552"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73FDD4F8" w14:textId="77777777" w:rsidR="00A604C9" w:rsidRPr="0017795C" w:rsidRDefault="00A604C9" w:rsidP="00A604C9">
            <w:pPr>
              <w:spacing w:after="0" w:line="276" w:lineRule="auto"/>
              <w:rPr>
                <w:rFonts w:cs="Arial"/>
                <w:b/>
                <w:bCs/>
                <w:sz w:val="22"/>
              </w:rPr>
            </w:pPr>
            <w:r w:rsidRPr="0017795C">
              <w:rPr>
                <w:rFonts w:cs="Arial"/>
                <w:b/>
                <w:bCs/>
                <w:sz w:val="22"/>
              </w:rPr>
              <w:t>Strategický cíl/cíle</w:t>
            </w:r>
          </w:p>
        </w:tc>
        <w:tc>
          <w:tcPr>
            <w:tcW w:w="6799" w:type="dxa"/>
            <w:gridSpan w:val="3"/>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6BE0150B" w14:textId="11EF2A95" w:rsidR="00A604C9" w:rsidRPr="00A604C9" w:rsidRDefault="00A604C9" w:rsidP="00A604C9">
            <w:pPr>
              <w:spacing w:after="0"/>
              <w:jc w:val="both"/>
              <w:rPr>
                <w:rFonts w:eastAsia="Times New Roman" w:cs="Arial"/>
                <w:bCs/>
                <w:iCs/>
                <w:color w:val="000000"/>
                <w:sz w:val="22"/>
                <w:lang w:eastAsia="cs-CZ"/>
              </w:rPr>
            </w:pPr>
            <w:r w:rsidRPr="00A604C9">
              <w:rPr>
                <w:rFonts w:cs="Arial"/>
                <w:bCs/>
                <w:iCs/>
                <w:sz w:val="22"/>
              </w:rPr>
              <w:t xml:space="preserve">F.2 Regenerovat rozvojová, deprivovaná nebo periferní území v sídlech s vysokou koncentrací obyvatel </w:t>
            </w:r>
          </w:p>
        </w:tc>
      </w:tr>
      <w:tr w:rsidR="00A604C9" w:rsidRPr="0017795C" w14:paraId="4F2BB629" w14:textId="77777777" w:rsidTr="00231C95">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0F5D35" w14:textId="1E84945D" w:rsidR="00A604C9" w:rsidRPr="0017795C" w:rsidRDefault="00A604C9" w:rsidP="00A604C9">
            <w:pPr>
              <w:spacing w:after="0" w:line="276" w:lineRule="auto"/>
              <w:rPr>
                <w:rFonts w:cs="Arial"/>
                <w:b/>
                <w:bCs/>
                <w:sz w:val="22"/>
              </w:rPr>
            </w:pPr>
            <w:r w:rsidRPr="0017795C">
              <w:rPr>
                <w:rFonts w:cs="Arial"/>
                <w:b/>
                <w:bCs/>
                <w:sz w:val="22"/>
              </w:rPr>
              <w:t xml:space="preserve">Oblast </w:t>
            </w:r>
            <w:r w:rsidRPr="0017795C" w:rsidDel="009F7632">
              <w:rPr>
                <w:rFonts w:cs="Arial"/>
                <w:b/>
                <w:bCs/>
                <w:sz w:val="22"/>
              </w:rPr>
              <w:t xml:space="preserve">změn </w:t>
            </w:r>
            <w:r w:rsidR="009F7632" w:rsidRPr="0017795C">
              <w:rPr>
                <w:rFonts w:cs="Arial"/>
                <w:b/>
                <w:bCs/>
                <w:sz w:val="22"/>
              </w:rPr>
              <w:t>– indikátory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9688A7" w14:textId="77777777" w:rsidR="00871E47" w:rsidRPr="00871E47" w:rsidRDefault="00871E47" w:rsidP="00871E47">
            <w:pPr>
              <w:spacing w:after="0"/>
              <w:jc w:val="both"/>
              <w:rPr>
                <w:rFonts w:cstheme="minorHAnsi"/>
                <w:bCs/>
                <w:sz w:val="22"/>
              </w:rPr>
            </w:pPr>
            <w:r w:rsidRPr="00871E47">
              <w:rPr>
                <w:rFonts w:cstheme="minorHAnsi"/>
                <w:bCs/>
                <w:sz w:val="22"/>
              </w:rPr>
              <w:t>Změny:</w:t>
            </w:r>
          </w:p>
          <w:p w14:paraId="270532C8" w14:textId="77777777" w:rsidR="00871E47" w:rsidRPr="00871E47" w:rsidRDefault="00871E47" w:rsidP="002E4092">
            <w:pPr>
              <w:pStyle w:val="Odstavecseseznamem"/>
              <w:numPr>
                <w:ilvl w:val="0"/>
                <w:numId w:val="24"/>
              </w:numPr>
              <w:spacing w:after="0"/>
              <w:jc w:val="both"/>
              <w:rPr>
                <w:sz w:val="22"/>
              </w:rPr>
            </w:pPr>
            <w:r w:rsidRPr="00871E47">
              <w:rPr>
                <w:sz w:val="22"/>
              </w:rPr>
              <w:t>Zkvalitnění vybraných lokalit v sídlech ve smyslu funkcí a využívání veřejných prostor</w:t>
            </w:r>
          </w:p>
          <w:p w14:paraId="0D79DA68" w14:textId="77777777" w:rsidR="00871E47" w:rsidRPr="00871E47" w:rsidRDefault="00871E47" w:rsidP="002E4092">
            <w:pPr>
              <w:pStyle w:val="Odstavecseseznamem"/>
              <w:numPr>
                <w:ilvl w:val="0"/>
                <w:numId w:val="24"/>
              </w:numPr>
              <w:spacing w:after="0"/>
              <w:jc w:val="both"/>
              <w:rPr>
                <w:sz w:val="22"/>
              </w:rPr>
            </w:pPr>
            <w:r w:rsidRPr="00871E47">
              <w:rPr>
                <w:sz w:val="22"/>
              </w:rPr>
              <w:t>Regenerované veřejné prostory, bránící rozvoji území v sídlech</w:t>
            </w:r>
          </w:p>
          <w:p w14:paraId="16BC80A8" w14:textId="77777777" w:rsidR="00871E47" w:rsidRPr="00666995" w:rsidRDefault="00871E47" w:rsidP="00871E47">
            <w:pPr>
              <w:spacing w:after="0" w:line="276" w:lineRule="auto"/>
              <w:jc w:val="both"/>
              <w:rPr>
                <w:sz w:val="22"/>
              </w:rPr>
            </w:pPr>
            <w:r w:rsidRPr="00666995">
              <w:rPr>
                <w:sz w:val="22"/>
              </w:rPr>
              <w:t>Indikátory:</w:t>
            </w:r>
          </w:p>
          <w:p w14:paraId="58A05B56" w14:textId="1C23A07F" w:rsidR="00871E47" w:rsidRPr="00666995" w:rsidRDefault="00871E47" w:rsidP="002E4092">
            <w:pPr>
              <w:pStyle w:val="Odstavecseseznamem"/>
              <w:numPr>
                <w:ilvl w:val="0"/>
                <w:numId w:val="6"/>
              </w:numPr>
              <w:spacing w:after="0" w:line="276" w:lineRule="auto"/>
              <w:jc w:val="both"/>
              <w:rPr>
                <w:sz w:val="22"/>
              </w:rPr>
            </w:pPr>
            <w:r w:rsidRPr="00666995">
              <w:rPr>
                <w:sz w:val="22"/>
              </w:rPr>
              <w:t>Zvýšení objemu investic</w:t>
            </w:r>
          </w:p>
          <w:p w14:paraId="250BC25A" w14:textId="1ADCD5D3" w:rsidR="00A604C9" w:rsidRPr="001C2A0D" w:rsidRDefault="00871E47" w:rsidP="002E4092">
            <w:pPr>
              <w:pStyle w:val="Odstavecseseznamem"/>
              <w:numPr>
                <w:ilvl w:val="0"/>
                <w:numId w:val="6"/>
              </w:numPr>
              <w:spacing w:after="0"/>
              <w:rPr>
                <w:rFonts w:cs="Arial"/>
                <w:bCs/>
                <w:iCs/>
                <w:sz w:val="22"/>
              </w:rPr>
            </w:pPr>
            <w:r w:rsidRPr="00666995">
              <w:rPr>
                <w:sz w:val="22"/>
              </w:rPr>
              <w:t>Snížení sociopatologických jevů</w:t>
            </w:r>
          </w:p>
        </w:tc>
      </w:tr>
      <w:tr w:rsidR="00A604C9" w:rsidRPr="0017795C" w14:paraId="60F00EE7" w14:textId="77777777" w:rsidTr="00EF3DF0">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F816F6" w14:textId="77777777" w:rsidR="00A604C9" w:rsidRPr="0017795C" w:rsidRDefault="00A604C9" w:rsidP="00A604C9">
            <w:pPr>
              <w:spacing w:after="0" w:line="276" w:lineRule="auto"/>
              <w:rPr>
                <w:rFonts w:cs="Arial"/>
                <w:b/>
                <w:bCs/>
                <w:i/>
                <w:sz w:val="22"/>
              </w:rPr>
            </w:pPr>
            <w:r w:rsidRPr="0017795C">
              <w:rPr>
                <w:rFonts w:cs="Arial"/>
                <w:b/>
                <w:bCs/>
                <w:sz w:val="22"/>
              </w:rPr>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95D3EC" w14:textId="0E9873BE" w:rsidR="00A604C9" w:rsidRPr="00A604C9" w:rsidRDefault="00871E47" w:rsidP="00EC0901">
            <w:pPr>
              <w:spacing w:after="0" w:line="276" w:lineRule="auto"/>
              <w:rPr>
                <w:rFonts w:cs="Arial"/>
                <w:b/>
                <w:bCs/>
                <w:iCs/>
                <w:sz w:val="22"/>
              </w:rPr>
            </w:pPr>
            <w:r>
              <w:rPr>
                <w:rFonts w:cs="Arial"/>
                <w:b/>
                <w:bCs/>
                <w:iCs/>
                <w:sz w:val="22"/>
              </w:rPr>
              <w:t>Demolice budov v sociálně vyloučených lokalitách – pokračování DT</w:t>
            </w:r>
          </w:p>
        </w:tc>
      </w:tr>
      <w:tr w:rsidR="00A604C9" w:rsidRPr="0017795C" w14:paraId="6611F14A" w14:textId="77777777" w:rsidTr="00231C95">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788BA8" w14:textId="77777777" w:rsidR="00A604C9" w:rsidRPr="0017795C" w:rsidRDefault="00A604C9" w:rsidP="00A604C9">
            <w:pPr>
              <w:spacing w:after="0" w:line="276" w:lineRule="auto"/>
              <w:rPr>
                <w:rFonts w:cs="Arial"/>
                <w:b/>
                <w:bCs/>
                <w:sz w:val="22"/>
              </w:rPr>
            </w:pPr>
            <w:r w:rsidRPr="0017795C">
              <w:rPr>
                <w:rFonts w:cs="Arial"/>
                <w:b/>
                <w:bCs/>
                <w:sz w:val="22"/>
              </w:rPr>
              <w:t>Zdůvodnění a popis programu</w:t>
            </w:r>
          </w:p>
          <w:p w14:paraId="4F92A0C5" w14:textId="77777777" w:rsidR="00A604C9" w:rsidRPr="0017795C" w:rsidRDefault="00A604C9" w:rsidP="00A604C9">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E0F612" w14:textId="77777777" w:rsidR="00871E47" w:rsidRPr="00871E47" w:rsidRDefault="00871E47" w:rsidP="00871E47">
            <w:pPr>
              <w:spacing w:after="0" w:line="276" w:lineRule="auto"/>
              <w:jc w:val="both"/>
              <w:rPr>
                <w:rFonts w:cs="Arial"/>
                <w:color w:val="000000" w:themeColor="text1"/>
                <w:sz w:val="22"/>
              </w:rPr>
            </w:pPr>
            <w:r w:rsidRPr="00871E47">
              <w:rPr>
                <w:rFonts w:cs="Arial"/>
                <w:color w:val="000000" w:themeColor="text1"/>
                <w:sz w:val="22"/>
              </w:rPr>
              <w:t>Ze strany obcí se jednalo o jednoduchý nástroj jak z pohledu přípravy žádostí, tak i následné realizace. Dopady realizovaných projektů se v místě a čase projevily téměř okamžitě, kdy ihned došlo ke zkvalitnění fyzického prostředí dané lokality. Dopady byly také následně dobře vnímány i ze strany samotných obyvatel těchto lokalit a jejich okolí z pohledu zkvalitnění životního prostředí v dané lokalitě.</w:t>
            </w:r>
          </w:p>
          <w:p w14:paraId="544D0846" w14:textId="77777777" w:rsidR="00871E47" w:rsidRPr="00871E47" w:rsidRDefault="00871E47" w:rsidP="00871E47">
            <w:pPr>
              <w:spacing w:after="0" w:line="276" w:lineRule="auto"/>
              <w:jc w:val="both"/>
              <w:rPr>
                <w:rFonts w:cs="Arial"/>
                <w:bCs/>
                <w:color w:val="000000" w:themeColor="text1"/>
                <w:sz w:val="22"/>
              </w:rPr>
            </w:pPr>
            <w:r w:rsidRPr="00871E47">
              <w:rPr>
                <w:rFonts w:cs="Arial"/>
                <w:bCs/>
                <w:color w:val="000000" w:themeColor="text1"/>
                <w:sz w:val="22"/>
              </w:rPr>
              <w:t xml:space="preserve">Ze strany měst a obcí je o pokračování tohoto úspěšného dotačního titulu zájem. </w:t>
            </w:r>
          </w:p>
          <w:p w14:paraId="419401B2" w14:textId="2A434950" w:rsidR="00A604C9" w:rsidRPr="00871E47" w:rsidRDefault="00871E47" w:rsidP="002E4092">
            <w:pPr>
              <w:numPr>
                <w:ilvl w:val="0"/>
                <w:numId w:val="5"/>
              </w:numPr>
              <w:spacing w:line="240" w:lineRule="auto"/>
              <w:jc w:val="both"/>
              <w:textAlignment w:val="baseline"/>
              <w:rPr>
                <w:rFonts w:eastAsia="Times New Roman" w:cs="Arial"/>
                <w:sz w:val="22"/>
                <w:lang w:eastAsia="cs-CZ"/>
              </w:rPr>
            </w:pPr>
            <w:r w:rsidRPr="00871E47">
              <w:rPr>
                <w:rFonts w:cs="Arial"/>
                <w:color w:val="000000" w:themeColor="text1"/>
                <w:sz w:val="22"/>
              </w:rPr>
              <w:t>Tato aktivita by měla vést k dosažení potřebných cílů, tj. snížit degradaci existujících sociálně vyloučených lokalit prostřednictvím demolicí objektů, které v řadě míst přispívaly k výskytu sociálně-patologických jevů.</w:t>
            </w:r>
          </w:p>
        </w:tc>
      </w:tr>
      <w:tr w:rsidR="00A604C9" w:rsidRPr="0017795C" w14:paraId="3C701A6E" w14:textId="77777777" w:rsidTr="00231C95">
        <w:trPr>
          <w:trHeight w:val="245"/>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6285BD" w14:textId="77777777" w:rsidR="00A604C9" w:rsidRPr="0017795C" w:rsidRDefault="00A604C9" w:rsidP="00A604C9">
            <w:pPr>
              <w:spacing w:after="0" w:line="276" w:lineRule="auto"/>
              <w:rPr>
                <w:rFonts w:cs="Arial"/>
                <w:b/>
                <w:bCs/>
                <w:sz w:val="22"/>
              </w:rPr>
            </w:pPr>
            <w:r w:rsidRPr="0017795C">
              <w:rPr>
                <w:rFonts w:cs="Arial"/>
                <w:b/>
                <w:bCs/>
                <w:sz w:val="22"/>
              </w:rPr>
              <w:t>Cíl programu/opatření</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11858F" w14:textId="77777777" w:rsidR="00871E47" w:rsidRPr="00871E47" w:rsidRDefault="00871E47" w:rsidP="00871E47">
            <w:pPr>
              <w:spacing w:line="276" w:lineRule="auto"/>
              <w:jc w:val="both"/>
              <w:rPr>
                <w:rFonts w:cs="Arial"/>
                <w:sz w:val="22"/>
              </w:rPr>
            </w:pPr>
            <w:r w:rsidRPr="00871E47">
              <w:rPr>
                <w:rFonts w:cs="Arial"/>
                <w:sz w:val="22"/>
              </w:rPr>
              <w:t>Cílem je snížit degradaci existujících sociálně vyloučených lokalit, které v řadě míst přispívají k výskytu socio-patologických jevů.</w:t>
            </w:r>
          </w:p>
          <w:p w14:paraId="33B1860B" w14:textId="32A754ED" w:rsidR="00A604C9" w:rsidRPr="00871E47" w:rsidRDefault="00871E47" w:rsidP="00871E47">
            <w:pPr>
              <w:spacing w:line="276" w:lineRule="auto"/>
              <w:jc w:val="both"/>
              <w:rPr>
                <w:rFonts w:cs="Arial"/>
                <w:iCs/>
                <w:sz w:val="22"/>
              </w:rPr>
            </w:pPr>
            <w:r w:rsidRPr="00871E47">
              <w:rPr>
                <w:rFonts w:cs="Arial"/>
                <w:sz w:val="22"/>
              </w:rPr>
              <w:t>Vyhlásit v období 2025-202</w:t>
            </w:r>
            <w:r w:rsidR="00666995">
              <w:rPr>
                <w:rFonts w:cs="Arial"/>
                <w:sz w:val="22"/>
              </w:rPr>
              <w:t>8</w:t>
            </w:r>
            <w:r w:rsidRPr="00871E47">
              <w:rPr>
                <w:rFonts w:cs="Arial"/>
                <w:sz w:val="22"/>
              </w:rPr>
              <w:t xml:space="preserve"> výzvu s alokací 100 mil. Kč 1x ročně, resp. dle dané absorpční kapacity.</w:t>
            </w:r>
          </w:p>
        </w:tc>
      </w:tr>
      <w:tr w:rsidR="00A604C9" w:rsidRPr="0017795C" w14:paraId="215A2C44" w14:textId="77777777" w:rsidTr="00231C95">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B2BDE9" w14:textId="77777777" w:rsidR="00A604C9" w:rsidRPr="0017795C" w:rsidRDefault="00A604C9" w:rsidP="00A604C9">
            <w:pPr>
              <w:spacing w:after="0" w:line="276" w:lineRule="auto"/>
              <w:rPr>
                <w:rFonts w:cs="Arial"/>
                <w:b/>
                <w:bCs/>
                <w:sz w:val="22"/>
              </w:rPr>
            </w:pPr>
            <w:r w:rsidRPr="0017795C">
              <w:rPr>
                <w:rFonts w:cs="Arial"/>
                <w:b/>
                <w:bCs/>
                <w:sz w:val="22"/>
              </w:rPr>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2C6637" w14:textId="27025E40" w:rsidR="00A604C9" w:rsidRPr="00871E47" w:rsidRDefault="00871E47" w:rsidP="005F49C3">
            <w:pPr>
              <w:spacing w:after="0" w:line="240" w:lineRule="auto"/>
              <w:jc w:val="both"/>
              <w:rPr>
                <w:rFonts w:cs="Arial"/>
                <w:bCs/>
                <w:iCs/>
                <w:sz w:val="22"/>
              </w:rPr>
            </w:pPr>
            <w:r w:rsidRPr="00871E47">
              <w:rPr>
                <w:rFonts w:cs="Arial"/>
                <w:bCs/>
                <w:sz w:val="22"/>
              </w:rPr>
              <w:t>Vazba na program Regenerace brownfieldů pro nepodnikatelské využití, kterou lze spatřovat zejména v dopadech na zkvalitnění životního prostředí v dané lokalitě v intravilánu měst a obcí. Návaznost na opatření I.F.2.1, na jehož základě došlo k úpravě dotačního titulu do stávající podoby.</w:t>
            </w:r>
          </w:p>
        </w:tc>
      </w:tr>
      <w:tr w:rsidR="00A604C9" w:rsidRPr="0017795C" w14:paraId="30B95728" w14:textId="77777777" w:rsidTr="00231C95">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60EFEB" w14:textId="77777777" w:rsidR="00A604C9" w:rsidRPr="0017795C" w:rsidRDefault="00A604C9" w:rsidP="00A72CCA">
            <w:pPr>
              <w:spacing w:after="0" w:line="276" w:lineRule="auto"/>
              <w:rPr>
                <w:rFonts w:cs="Arial"/>
                <w:b/>
                <w:bCs/>
                <w:sz w:val="22"/>
              </w:rPr>
            </w:pPr>
            <w:r w:rsidRPr="0017795C">
              <w:rPr>
                <w:rFonts w:cs="Arial"/>
                <w:b/>
                <w:bCs/>
                <w:sz w:val="22"/>
              </w:rPr>
              <w:lastRenderedPageBreak/>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E0BB39" w14:textId="77777777" w:rsidR="00A604C9" w:rsidRPr="00650141" w:rsidRDefault="00A604C9" w:rsidP="00A72CCA">
            <w:pPr>
              <w:spacing w:after="0" w:line="276" w:lineRule="auto"/>
              <w:rPr>
                <w:rFonts w:cs="Arial"/>
                <w:b/>
                <w:bCs/>
                <w:sz w:val="22"/>
              </w:rPr>
            </w:pPr>
            <w:r w:rsidRPr="00650141">
              <w:rPr>
                <w:rFonts w:cs="Arial"/>
                <w:b/>
                <w:bCs/>
                <w:sz w:val="22"/>
              </w:rPr>
              <w:t>Od</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7B6407" w14:textId="77777777" w:rsidR="00A604C9" w:rsidRPr="00650141" w:rsidRDefault="00A604C9" w:rsidP="00A72CCA">
            <w:pPr>
              <w:spacing w:after="0" w:line="276" w:lineRule="auto"/>
              <w:rPr>
                <w:rFonts w:cs="Arial"/>
                <w:b/>
                <w:bCs/>
                <w:sz w:val="22"/>
              </w:rPr>
            </w:pPr>
            <w:r w:rsidRPr="00650141">
              <w:rPr>
                <w:rFonts w:cs="Arial"/>
                <w:b/>
                <w:bCs/>
                <w:sz w:val="22"/>
              </w:rPr>
              <w:t>Do</w:t>
            </w:r>
          </w:p>
        </w:tc>
      </w:tr>
      <w:tr w:rsidR="00A604C9" w:rsidRPr="0017795C" w14:paraId="0FD9C49B" w14:textId="77777777" w:rsidTr="001C2A0D">
        <w:trPr>
          <w:trHeight w:val="306"/>
        </w:trPr>
        <w:tc>
          <w:tcPr>
            <w:tcW w:w="2552" w:type="dxa"/>
            <w:vMerge/>
            <w:tcMar>
              <w:left w:w="108" w:type="dxa"/>
            </w:tcMar>
          </w:tcPr>
          <w:p w14:paraId="515161B0" w14:textId="77777777" w:rsidR="00A604C9" w:rsidRPr="0017795C" w:rsidRDefault="00A604C9" w:rsidP="00A72CCA">
            <w:pPr>
              <w:spacing w:after="0" w:line="276" w:lineRule="auto"/>
              <w:rPr>
                <w:rFonts w:cs="Arial"/>
                <w:b/>
                <w:bCs/>
                <w:sz w:val="22"/>
              </w:rPr>
            </w:pPr>
          </w:p>
        </w:tc>
        <w:tc>
          <w:tcPr>
            <w:tcW w:w="3331" w:type="dxa"/>
            <w:gridSpan w:val="2"/>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3A1D73B5" w14:textId="09527428" w:rsidR="00A604C9" w:rsidRPr="00650141" w:rsidRDefault="00A604C9" w:rsidP="00A72CCA">
            <w:pPr>
              <w:spacing w:after="0" w:line="276" w:lineRule="auto"/>
              <w:rPr>
                <w:rFonts w:cs="Arial"/>
                <w:bCs/>
                <w:sz w:val="22"/>
              </w:rPr>
            </w:pPr>
            <w:r w:rsidRPr="00650141">
              <w:rPr>
                <w:rFonts w:cs="Arial"/>
                <w:bCs/>
                <w:sz w:val="22"/>
              </w:rPr>
              <w:t>202</w:t>
            </w:r>
            <w:r w:rsidR="00871E47">
              <w:rPr>
                <w:rFonts w:cs="Arial"/>
                <w:bCs/>
                <w:sz w:val="22"/>
              </w:rPr>
              <w:t>5</w:t>
            </w:r>
          </w:p>
        </w:tc>
        <w:tc>
          <w:tcPr>
            <w:tcW w:w="3468"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16ECA745" w14:textId="24967E9E" w:rsidR="00A604C9" w:rsidRPr="00650141" w:rsidRDefault="00750E5B" w:rsidP="00A72CCA">
            <w:pPr>
              <w:spacing w:after="0" w:line="276" w:lineRule="auto"/>
              <w:rPr>
                <w:rFonts w:cs="Arial"/>
                <w:bCs/>
                <w:sz w:val="22"/>
              </w:rPr>
            </w:pPr>
            <w:r w:rsidRPr="00650141">
              <w:rPr>
                <w:rFonts w:cs="Arial"/>
                <w:bCs/>
                <w:sz w:val="22"/>
              </w:rPr>
              <w:t>202</w:t>
            </w:r>
            <w:r w:rsidR="00666995">
              <w:rPr>
                <w:rFonts w:cs="Arial"/>
                <w:bCs/>
                <w:sz w:val="22"/>
              </w:rPr>
              <w:t>8</w:t>
            </w:r>
          </w:p>
        </w:tc>
      </w:tr>
      <w:tr w:rsidR="00A604C9" w:rsidRPr="0017795C" w14:paraId="77BE5811" w14:textId="77777777" w:rsidTr="00231C95">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82D2D" w14:textId="77777777" w:rsidR="00A604C9" w:rsidRPr="0017795C" w:rsidRDefault="00A604C9" w:rsidP="00A72CCA">
            <w:pPr>
              <w:spacing w:after="0" w:line="276" w:lineRule="auto"/>
              <w:rPr>
                <w:rFonts w:cs="Arial"/>
                <w:b/>
                <w:bCs/>
                <w:sz w:val="22"/>
              </w:rPr>
            </w:pPr>
            <w:r w:rsidRPr="0017795C">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C9DA09" w14:textId="77777777" w:rsidR="00A604C9" w:rsidRPr="0017795C" w:rsidRDefault="00A604C9" w:rsidP="00A72CCA">
            <w:pPr>
              <w:spacing w:after="0" w:line="276" w:lineRule="auto"/>
              <w:rPr>
                <w:rFonts w:cs="Arial"/>
                <w:b/>
                <w:bCs/>
                <w:sz w:val="22"/>
              </w:rPr>
            </w:pPr>
            <w:r w:rsidRPr="0017795C">
              <w:rPr>
                <w:rFonts w:cs="Arial"/>
                <w:b/>
                <w:bCs/>
                <w:sz w:val="22"/>
              </w:rPr>
              <w:t>Organizace</w:t>
            </w:r>
          </w:p>
        </w:tc>
      </w:tr>
      <w:tr w:rsidR="00A604C9" w:rsidRPr="0017795C" w14:paraId="541891DD" w14:textId="77777777" w:rsidTr="00231C95">
        <w:trPr>
          <w:trHeight w:val="429"/>
        </w:trPr>
        <w:tc>
          <w:tcPr>
            <w:tcW w:w="2552" w:type="dxa"/>
            <w:vMerge/>
            <w:tcMar>
              <w:left w:w="108" w:type="dxa"/>
            </w:tcMar>
          </w:tcPr>
          <w:p w14:paraId="5C458B58" w14:textId="77777777" w:rsidR="00A604C9" w:rsidRPr="0017795C" w:rsidRDefault="00A604C9" w:rsidP="00A72CCA">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FFA2E1" w14:textId="06E613B3" w:rsidR="00A604C9" w:rsidRPr="0017795C" w:rsidRDefault="00750E5B" w:rsidP="00A72CCA">
            <w:pPr>
              <w:spacing w:after="0" w:line="276" w:lineRule="auto"/>
              <w:rPr>
                <w:rFonts w:cs="Arial"/>
                <w:bCs/>
                <w:sz w:val="22"/>
              </w:rPr>
            </w:pPr>
            <w:r>
              <w:rPr>
                <w:rFonts w:cs="Arial"/>
                <w:bCs/>
                <w:sz w:val="22"/>
              </w:rPr>
              <w:t>M</w:t>
            </w:r>
            <w:r w:rsidR="00871E47">
              <w:rPr>
                <w:rFonts w:cs="Arial"/>
                <w:bCs/>
                <w:sz w:val="22"/>
              </w:rPr>
              <w:t>MR</w:t>
            </w:r>
          </w:p>
        </w:tc>
      </w:tr>
      <w:tr w:rsidR="00A604C9" w:rsidRPr="00CC5AD3" w14:paraId="4CB9DE83" w14:textId="77777777" w:rsidTr="00A53AC7">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A0BC80" w14:textId="77777777" w:rsidR="00A604C9" w:rsidRPr="00650141" w:rsidRDefault="00A604C9" w:rsidP="00A72CCA">
            <w:pPr>
              <w:spacing w:after="0" w:line="276" w:lineRule="auto"/>
              <w:rPr>
                <w:rFonts w:cs="Arial"/>
                <w:b/>
                <w:bCs/>
                <w:sz w:val="22"/>
              </w:rPr>
            </w:pPr>
            <w:r w:rsidRPr="00650141">
              <w:rPr>
                <w:rFonts w:cs="Arial"/>
                <w:b/>
                <w:bCs/>
                <w:sz w:val="22"/>
              </w:rPr>
              <w:t>Rozpočet (odhad)</w:t>
            </w:r>
          </w:p>
          <w:p w14:paraId="2A6C65F3" w14:textId="77777777" w:rsidR="00A604C9" w:rsidRPr="00650141" w:rsidRDefault="00A604C9" w:rsidP="00A72CCA">
            <w:pPr>
              <w:spacing w:after="0" w:line="276" w:lineRule="auto"/>
              <w:rPr>
                <w:rFonts w:cs="Arial"/>
                <w:bCs/>
                <w:sz w:val="22"/>
              </w:rPr>
            </w:pPr>
            <w:r w:rsidRPr="00650141">
              <w:rPr>
                <w:rFonts w:cs="Arial"/>
                <w:bCs/>
                <w:i/>
                <w:sz w:val="22"/>
              </w:rPr>
              <w:t>na realizaci nebo na přípravu v případě, kdy se opatření připravuje pro další akční plán</w:t>
            </w:r>
            <w:r w:rsidRPr="00650141">
              <w:rPr>
                <w:rFonts w:cs="Arial"/>
                <w:bCs/>
                <w:sz w:val="22"/>
              </w:rPr>
              <w:t> </w:t>
            </w:r>
          </w:p>
        </w:tc>
        <w:tc>
          <w:tcPr>
            <w:tcW w:w="1843"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1B8FE0E3" w14:textId="77777777" w:rsidR="00A604C9" w:rsidRPr="00650141" w:rsidRDefault="00A604C9" w:rsidP="00A72CCA">
            <w:pPr>
              <w:spacing w:after="0" w:line="276" w:lineRule="auto"/>
              <w:rPr>
                <w:rFonts w:cs="Arial"/>
                <w:b/>
                <w:sz w:val="22"/>
              </w:rPr>
            </w:pPr>
            <w:r w:rsidRPr="00650141">
              <w:rPr>
                <w:rFonts w:cs="Arial"/>
                <w:b/>
                <w:bCs/>
                <w:sz w:val="22"/>
              </w:rPr>
              <w:t>Objem (Kč) na celé období realizace</w:t>
            </w:r>
            <w:r w:rsidRPr="00650141">
              <w:rPr>
                <w:rFonts w:cs="Arial"/>
                <w:bCs/>
                <w:i/>
                <w:sz w:val="22"/>
              </w:rPr>
              <w:t xml:space="preserve"> </w:t>
            </w:r>
          </w:p>
        </w:tc>
        <w:tc>
          <w:tcPr>
            <w:tcW w:w="4956" w:type="dxa"/>
            <w:gridSpan w:val="2"/>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79B3347C" w14:textId="77777777" w:rsidR="00A604C9" w:rsidRPr="00650141" w:rsidRDefault="00A604C9" w:rsidP="00A72CCA">
            <w:pPr>
              <w:spacing w:after="0" w:line="276" w:lineRule="auto"/>
              <w:rPr>
                <w:rFonts w:cs="Arial"/>
                <w:b/>
                <w:bCs/>
                <w:sz w:val="22"/>
              </w:rPr>
            </w:pPr>
            <w:r w:rsidRPr="00650141">
              <w:rPr>
                <w:rFonts w:cs="Arial"/>
                <w:b/>
                <w:bCs/>
                <w:sz w:val="22"/>
              </w:rPr>
              <w:t xml:space="preserve">Předpokládané zdroje financování </w:t>
            </w:r>
          </w:p>
          <w:p w14:paraId="6AF178F2" w14:textId="77777777" w:rsidR="00A604C9" w:rsidRPr="00650141" w:rsidRDefault="00A604C9" w:rsidP="00A72CCA">
            <w:pPr>
              <w:spacing w:after="0" w:line="276" w:lineRule="auto"/>
              <w:jc w:val="both"/>
              <w:rPr>
                <w:rFonts w:cs="Arial"/>
                <w:bCs/>
                <w:i/>
                <w:sz w:val="22"/>
              </w:rPr>
            </w:pPr>
          </w:p>
        </w:tc>
      </w:tr>
      <w:tr w:rsidR="00750E5B" w:rsidRPr="0017795C" w14:paraId="1B662F07" w14:textId="77777777" w:rsidTr="00A53AC7">
        <w:trPr>
          <w:trHeight w:val="495"/>
        </w:trPr>
        <w:tc>
          <w:tcPr>
            <w:tcW w:w="2552" w:type="dxa"/>
            <w:vMerge/>
            <w:tcMar>
              <w:left w:w="108" w:type="dxa"/>
            </w:tcMar>
          </w:tcPr>
          <w:p w14:paraId="119A3883" w14:textId="77777777" w:rsidR="00750E5B" w:rsidRPr="00650141" w:rsidRDefault="00750E5B" w:rsidP="00750E5B">
            <w:pPr>
              <w:spacing w:after="0" w:line="276" w:lineRule="auto"/>
              <w:rPr>
                <w:rFonts w:cs="Arial"/>
                <w:bCs/>
                <w:sz w:val="22"/>
              </w:rPr>
            </w:pPr>
          </w:p>
        </w:tc>
        <w:tc>
          <w:tcPr>
            <w:tcW w:w="1843"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6476A2CC" w14:textId="438E66FC" w:rsidR="00750E5B" w:rsidRPr="00650141" w:rsidRDefault="00750E5B" w:rsidP="00750E5B">
            <w:pPr>
              <w:spacing w:after="0" w:line="276" w:lineRule="auto"/>
              <w:rPr>
                <w:rFonts w:cs="Arial"/>
                <w:bCs/>
                <w:sz w:val="22"/>
              </w:rPr>
            </w:pPr>
          </w:p>
        </w:tc>
        <w:tc>
          <w:tcPr>
            <w:tcW w:w="4956" w:type="dxa"/>
            <w:gridSpan w:val="2"/>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30DFF928" w14:textId="4911AAC9" w:rsidR="00750E5B" w:rsidRPr="00650141" w:rsidRDefault="00750E5B" w:rsidP="00750E5B">
            <w:pPr>
              <w:spacing w:after="0" w:line="276" w:lineRule="auto"/>
              <w:rPr>
                <w:rFonts w:cs="Arial"/>
                <w:bCs/>
                <w:sz w:val="22"/>
              </w:rPr>
            </w:pPr>
          </w:p>
        </w:tc>
      </w:tr>
      <w:tr w:rsidR="00A604C9" w:rsidRPr="0017795C" w14:paraId="07B060B8" w14:textId="77777777" w:rsidTr="00A53AC7">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26DB90" w14:textId="77777777" w:rsidR="00A604C9" w:rsidRPr="00650141" w:rsidRDefault="00A604C9" w:rsidP="00A72CCA">
            <w:pPr>
              <w:spacing w:after="0" w:line="276" w:lineRule="auto"/>
              <w:rPr>
                <w:rFonts w:cs="Arial"/>
                <w:b/>
                <w:bCs/>
                <w:sz w:val="22"/>
              </w:rPr>
            </w:pPr>
            <w:r w:rsidRPr="00650141">
              <w:rPr>
                <w:rFonts w:cs="Arial"/>
                <w:b/>
                <w:bCs/>
                <w:sz w:val="22"/>
              </w:rPr>
              <w:t xml:space="preserve">Příprava programu/opatření </w:t>
            </w:r>
          </w:p>
          <w:p w14:paraId="7FC1E9BE" w14:textId="0A920615" w:rsidR="00A604C9" w:rsidRPr="00650141" w:rsidRDefault="00A604C9" w:rsidP="00A72CCA">
            <w:pPr>
              <w:spacing w:after="0" w:line="276" w:lineRule="auto"/>
              <w:rPr>
                <w:rFonts w:cs="Arial"/>
                <w:sz w:val="22"/>
              </w:rPr>
            </w:pPr>
            <w:r w:rsidRPr="00650141">
              <w:rPr>
                <w:rFonts w:cs="Arial"/>
                <w:b/>
                <w:bCs/>
                <w:sz w:val="22"/>
              </w:rPr>
              <w:t xml:space="preserve">nebo objem prostředků na realizaci pro rok </w:t>
            </w:r>
            <w:r w:rsidRPr="00DA3833">
              <w:rPr>
                <w:rFonts w:cs="Arial"/>
                <w:b/>
                <w:bCs/>
                <w:sz w:val="22"/>
              </w:rPr>
              <w:t>202</w:t>
            </w:r>
            <w:r w:rsidR="00DA3833" w:rsidRPr="00DA3833">
              <w:rPr>
                <w:rFonts w:cs="Arial"/>
                <w:b/>
                <w:bCs/>
                <w:sz w:val="22"/>
              </w:rPr>
              <w:t>5</w:t>
            </w:r>
            <w:r w:rsidRPr="00DA3833">
              <w:rPr>
                <w:rFonts w:cs="Arial"/>
                <w:b/>
                <w:bCs/>
                <w:sz w:val="22"/>
              </w:rPr>
              <w:t>+</w:t>
            </w:r>
          </w:p>
        </w:tc>
        <w:tc>
          <w:tcPr>
            <w:tcW w:w="1843"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4D311456" w14:textId="1BE5E57B" w:rsidR="00A604C9" w:rsidRPr="00650141" w:rsidRDefault="00A604C9" w:rsidP="00A72CCA">
            <w:pPr>
              <w:spacing w:after="0" w:line="276" w:lineRule="auto"/>
              <w:rPr>
                <w:rFonts w:cs="Arial"/>
                <w:b/>
                <w:bCs/>
                <w:sz w:val="22"/>
              </w:rPr>
            </w:pPr>
            <w:r w:rsidRPr="00650141">
              <w:rPr>
                <w:rFonts w:cs="Arial"/>
                <w:b/>
                <w:bCs/>
                <w:sz w:val="22"/>
              </w:rPr>
              <w:t>202</w:t>
            </w:r>
            <w:r w:rsidR="00871E47">
              <w:rPr>
                <w:rFonts w:cs="Arial"/>
                <w:b/>
                <w:bCs/>
                <w:sz w:val="22"/>
              </w:rPr>
              <w:t>5</w:t>
            </w:r>
          </w:p>
        </w:tc>
        <w:tc>
          <w:tcPr>
            <w:tcW w:w="4956" w:type="dxa"/>
            <w:gridSpan w:val="2"/>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6EE5F9E3" w14:textId="77777777" w:rsidR="00A604C9" w:rsidRPr="00650141" w:rsidRDefault="00A604C9" w:rsidP="00A72CCA">
            <w:pPr>
              <w:spacing w:after="0" w:line="276" w:lineRule="auto"/>
              <w:rPr>
                <w:rFonts w:cs="Arial"/>
                <w:bCs/>
                <w:sz w:val="22"/>
              </w:rPr>
            </w:pPr>
          </w:p>
        </w:tc>
      </w:tr>
      <w:tr w:rsidR="00A604C9" w:rsidRPr="0017795C" w14:paraId="629BEAD5" w14:textId="77777777" w:rsidTr="00A53AC7">
        <w:trPr>
          <w:trHeight w:val="508"/>
        </w:trPr>
        <w:tc>
          <w:tcPr>
            <w:tcW w:w="2552" w:type="dxa"/>
            <w:vMerge/>
            <w:tcMar>
              <w:left w:w="108" w:type="dxa"/>
            </w:tcMar>
          </w:tcPr>
          <w:p w14:paraId="147B3203" w14:textId="77777777" w:rsidR="00A604C9" w:rsidRPr="00650141" w:rsidRDefault="00A604C9" w:rsidP="00A72CCA">
            <w:pPr>
              <w:spacing w:after="0" w:line="276" w:lineRule="auto"/>
              <w:rPr>
                <w:rFonts w:cs="Arial"/>
                <w:bCs/>
                <w:sz w:val="22"/>
              </w:rPr>
            </w:pPr>
          </w:p>
        </w:tc>
        <w:tc>
          <w:tcPr>
            <w:tcW w:w="1843"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553A5549" w14:textId="148F5493" w:rsidR="00A604C9" w:rsidRPr="00650141" w:rsidRDefault="00A604C9" w:rsidP="00A72CCA">
            <w:pPr>
              <w:spacing w:after="0" w:line="276" w:lineRule="auto"/>
              <w:rPr>
                <w:rFonts w:cs="Arial"/>
                <w:bCs/>
                <w:sz w:val="22"/>
              </w:rPr>
            </w:pPr>
            <w:r w:rsidRPr="00650141">
              <w:rPr>
                <w:rFonts w:cs="Arial"/>
                <w:bCs/>
                <w:sz w:val="22"/>
              </w:rPr>
              <w:t>202</w:t>
            </w:r>
            <w:r w:rsidR="00871E47">
              <w:rPr>
                <w:rFonts w:cs="Arial"/>
                <w:bCs/>
                <w:sz w:val="22"/>
              </w:rPr>
              <w:t>5</w:t>
            </w:r>
            <w:r w:rsidRPr="00650141">
              <w:rPr>
                <w:rFonts w:cs="Arial"/>
                <w:bCs/>
                <w:sz w:val="22"/>
              </w:rPr>
              <w:t>+</w:t>
            </w:r>
          </w:p>
        </w:tc>
        <w:tc>
          <w:tcPr>
            <w:tcW w:w="4956" w:type="dxa"/>
            <w:gridSpan w:val="2"/>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39E6B433" w14:textId="38EEC6D7" w:rsidR="00A604C9" w:rsidRPr="00650141" w:rsidRDefault="00871E47" w:rsidP="00A72CCA">
            <w:pPr>
              <w:spacing w:after="0" w:line="276" w:lineRule="auto"/>
              <w:rPr>
                <w:rFonts w:cs="Arial"/>
                <w:bCs/>
                <w:sz w:val="22"/>
              </w:rPr>
            </w:pPr>
            <w:r>
              <w:rPr>
                <w:rFonts w:cs="Arial"/>
                <w:bCs/>
                <w:sz w:val="22"/>
              </w:rPr>
              <w:t>300 mil. Kč (100 mil Kč/ rok)</w:t>
            </w:r>
          </w:p>
        </w:tc>
      </w:tr>
      <w:tr w:rsidR="00A604C9" w:rsidRPr="0017795C" w14:paraId="7C3B7E58" w14:textId="77777777" w:rsidTr="001C2A0D">
        <w:trPr>
          <w:trHeight w:val="912"/>
        </w:trPr>
        <w:tc>
          <w:tcPr>
            <w:tcW w:w="2552"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128CD336" w14:textId="77777777" w:rsidR="00A604C9" w:rsidRPr="0017795C" w:rsidRDefault="00A604C9" w:rsidP="00A72CCA">
            <w:pPr>
              <w:spacing w:after="0" w:line="276" w:lineRule="auto"/>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3F8F6C53" w14:textId="77777777" w:rsidR="00A604C9" w:rsidRPr="0017795C" w:rsidRDefault="00A604C9" w:rsidP="00A72CCA">
            <w:pPr>
              <w:spacing w:after="0" w:line="276" w:lineRule="auto"/>
              <w:rPr>
                <w:rFonts w:cs="Arial"/>
                <w:bCs/>
                <w:sz w:val="22"/>
              </w:rPr>
            </w:pPr>
            <w:r w:rsidRPr="0017795C">
              <w:rPr>
                <w:rFonts w:cs="Arial"/>
                <w:bCs/>
                <w:sz w:val="22"/>
              </w:rPr>
              <w:t>---</w:t>
            </w:r>
          </w:p>
        </w:tc>
      </w:tr>
    </w:tbl>
    <w:p w14:paraId="433A26D4" w14:textId="6F77F63B" w:rsidR="00DF6076" w:rsidRDefault="00DF6076" w:rsidP="00DF6076">
      <w:pPr>
        <w:pStyle w:val="Nadpis2"/>
        <w:numPr>
          <w:ilvl w:val="0"/>
          <w:numId w:val="0"/>
        </w:numPr>
        <w:spacing w:line="276" w:lineRule="auto"/>
        <w:ind w:left="576" w:hanging="576"/>
      </w:pPr>
      <w:bookmarkStart w:id="70" w:name="_Toc63804163"/>
    </w:p>
    <w:p w14:paraId="682E32DD" w14:textId="4F6224D2" w:rsidR="00DF6076" w:rsidRDefault="00DF6076" w:rsidP="00DF6076"/>
    <w:p w14:paraId="032B72A5" w14:textId="34D9DC10" w:rsidR="00DF6076" w:rsidRDefault="00DF6076" w:rsidP="00DF6076"/>
    <w:p w14:paraId="24DC2D87" w14:textId="2DCB6B1C" w:rsidR="00DF6076" w:rsidRDefault="00DF6076" w:rsidP="00DF6076"/>
    <w:p w14:paraId="6FD8ED8E" w14:textId="701E5F5D" w:rsidR="00DF6076" w:rsidRDefault="00DF6076" w:rsidP="00DF6076"/>
    <w:p w14:paraId="583D5983" w14:textId="449FD1A1" w:rsidR="00DF6076" w:rsidRDefault="00DF6076" w:rsidP="00DF6076"/>
    <w:p w14:paraId="4239DB90" w14:textId="40A9077E" w:rsidR="00DF6076" w:rsidRDefault="00DF6076" w:rsidP="00DF6076"/>
    <w:p w14:paraId="2F9140FF" w14:textId="72773067" w:rsidR="00DF6076" w:rsidRDefault="00DF6076" w:rsidP="00DF6076"/>
    <w:p w14:paraId="6188E158" w14:textId="5B39C59C" w:rsidR="00DF6076" w:rsidRDefault="00DF6076" w:rsidP="00DF6076"/>
    <w:p w14:paraId="0AA06255" w14:textId="77777777" w:rsidR="00541D8B" w:rsidRDefault="00541D8B" w:rsidP="00DF6076"/>
    <w:p w14:paraId="17A99D75" w14:textId="77777777" w:rsidR="00541D8B" w:rsidRDefault="00541D8B" w:rsidP="00DF6076"/>
    <w:p w14:paraId="65523CD5" w14:textId="77777777" w:rsidR="00541D8B" w:rsidRDefault="00541D8B" w:rsidP="00DF6076"/>
    <w:p w14:paraId="525EC6F1" w14:textId="1902DA27" w:rsidR="00DF6076" w:rsidRDefault="00DF6076" w:rsidP="00DF6076"/>
    <w:p w14:paraId="1D77D267" w14:textId="77777777" w:rsidR="00DF6076" w:rsidRPr="00DF6076" w:rsidRDefault="00DF6076" w:rsidP="00DF6076"/>
    <w:p w14:paraId="10ADD800" w14:textId="3EEA7292" w:rsidR="00871E47" w:rsidRDefault="00871E47" w:rsidP="00871E47">
      <w:pPr>
        <w:pStyle w:val="Nadpis2"/>
        <w:spacing w:line="276" w:lineRule="auto"/>
      </w:pPr>
      <w:bookmarkStart w:id="71" w:name="_Toc175743066"/>
      <w:r w:rsidRPr="00871E47">
        <w:lastRenderedPageBreak/>
        <w:t>F.3 Transformace energetiky ve strukturálně postižených krajích, využití nových příležitostí</w:t>
      </w:r>
      <w:bookmarkEnd w:id="71"/>
    </w:p>
    <w:p w14:paraId="6AEE09EF" w14:textId="05524670" w:rsidR="00871E47" w:rsidRDefault="00871E47" w:rsidP="00450B82">
      <w:pPr>
        <w:pStyle w:val="Nadpis3"/>
        <w:ind w:left="720"/>
      </w:pPr>
      <w:bookmarkStart w:id="72" w:name="_Toc175743067"/>
      <w:r>
        <w:t xml:space="preserve">VI.F.3.4 </w:t>
      </w:r>
      <w:r w:rsidR="00483859" w:rsidRPr="00483859">
        <w:t>Vytvoření vhodných podmínek pro rozvoj projektů na využití geotermální energie nebo akumulace tepla/chladu</w:t>
      </w:r>
      <w:bookmarkEnd w:id="72"/>
      <w:r w:rsidR="00483859" w:rsidRPr="00483859">
        <w:t xml:space="preserve"> </w:t>
      </w:r>
    </w:p>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1843"/>
        <w:gridCol w:w="1488"/>
        <w:gridCol w:w="3468"/>
      </w:tblGrid>
      <w:tr w:rsidR="00450B82" w:rsidRPr="00E45B66" w14:paraId="55D802EE" w14:textId="77777777" w:rsidTr="00944693">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71E88995" w14:textId="77777777" w:rsidR="00450B82" w:rsidRPr="00450B82" w:rsidRDefault="00450B82" w:rsidP="00944693">
            <w:pPr>
              <w:spacing w:after="0" w:line="276" w:lineRule="auto"/>
              <w:rPr>
                <w:rFonts w:cs="Arial"/>
                <w:b/>
                <w:bCs/>
                <w:sz w:val="22"/>
              </w:rPr>
            </w:pPr>
            <w:r w:rsidRPr="00450B82">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0F30807" w14:textId="77777777" w:rsidR="00450B82" w:rsidRPr="00DF6076" w:rsidRDefault="00450B82" w:rsidP="00944693">
            <w:pPr>
              <w:spacing w:after="0" w:line="276" w:lineRule="auto"/>
              <w:jc w:val="both"/>
              <w:rPr>
                <w:rFonts w:cs="Arial"/>
                <w:b/>
                <w:iCs/>
                <w:color w:val="000000"/>
                <w:sz w:val="22"/>
              </w:rPr>
            </w:pPr>
            <w:r w:rsidRPr="00DF6076">
              <w:rPr>
                <w:rFonts w:cs="Arial"/>
                <w:b/>
                <w:iCs/>
                <w:color w:val="000000"/>
                <w:sz w:val="22"/>
              </w:rPr>
              <w:t>Vláda ČR ukládá:</w:t>
            </w:r>
          </w:p>
          <w:p w14:paraId="0F7826AD" w14:textId="1EE58A59" w:rsidR="008217F7" w:rsidRPr="00DF6076" w:rsidRDefault="00450B82" w:rsidP="00944693">
            <w:pPr>
              <w:spacing w:after="0" w:line="276" w:lineRule="auto"/>
              <w:jc w:val="both"/>
              <w:rPr>
                <w:rFonts w:cs="Arial"/>
                <w:bCs/>
                <w:iCs/>
                <w:sz w:val="22"/>
              </w:rPr>
            </w:pPr>
            <w:r w:rsidRPr="00DF6076">
              <w:rPr>
                <w:rFonts w:cs="Arial"/>
                <w:b/>
                <w:iCs/>
                <w:color w:val="000000"/>
                <w:sz w:val="22"/>
              </w:rPr>
              <w:t>Minist</w:t>
            </w:r>
            <w:r w:rsidR="00CD1A9A" w:rsidRPr="00DF6076">
              <w:rPr>
                <w:rFonts w:cs="Arial"/>
                <w:b/>
                <w:iCs/>
                <w:color w:val="000000"/>
                <w:sz w:val="22"/>
              </w:rPr>
              <w:t>r</w:t>
            </w:r>
            <w:r w:rsidR="001568F5" w:rsidRPr="00DF6076">
              <w:rPr>
                <w:rFonts w:cs="Arial"/>
                <w:b/>
                <w:iCs/>
                <w:color w:val="000000"/>
                <w:sz w:val="22"/>
              </w:rPr>
              <w:t>ovi</w:t>
            </w:r>
            <w:r w:rsidRPr="00DF6076">
              <w:rPr>
                <w:rFonts w:cs="Arial"/>
                <w:b/>
                <w:iCs/>
                <w:color w:val="000000"/>
                <w:sz w:val="22"/>
              </w:rPr>
              <w:t xml:space="preserve"> životního prostředí, aby </w:t>
            </w:r>
            <w:r w:rsidR="00E56242" w:rsidRPr="00DF6076">
              <w:rPr>
                <w:rFonts w:cs="Arial"/>
                <w:b/>
                <w:iCs/>
                <w:color w:val="000000"/>
                <w:sz w:val="22"/>
              </w:rPr>
              <w:t xml:space="preserve">se </w:t>
            </w:r>
            <w:r w:rsidR="008217F7" w:rsidRPr="00DF6076">
              <w:rPr>
                <w:rFonts w:cs="Arial"/>
                <w:b/>
                <w:iCs/>
                <w:color w:val="000000"/>
                <w:sz w:val="22"/>
              </w:rPr>
              <w:t xml:space="preserve">ve spolupráci se Státním fondem životního prostředí a </w:t>
            </w:r>
            <w:r w:rsidRPr="00DF6076">
              <w:rPr>
                <w:rFonts w:cs="Arial"/>
                <w:b/>
                <w:iCs/>
                <w:color w:val="000000"/>
                <w:sz w:val="22"/>
              </w:rPr>
              <w:t>v součinnosti s </w:t>
            </w:r>
            <w:r w:rsidR="00E56242" w:rsidRPr="00DF6076">
              <w:rPr>
                <w:rFonts w:cs="Arial"/>
                <w:b/>
                <w:iCs/>
                <w:color w:val="000000"/>
                <w:sz w:val="22"/>
              </w:rPr>
              <w:t>ministrem</w:t>
            </w:r>
            <w:r w:rsidRPr="00DF6076">
              <w:rPr>
                <w:rFonts w:cs="Arial"/>
                <w:b/>
                <w:iCs/>
                <w:color w:val="000000"/>
                <w:sz w:val="22"/>
              </w:rPr>
              <w:t xml:space="preserve"> průmyslu a obchodu</w:t>
            </w:r>
            <w:r w:rsidR="008C05D0" w:rsidRPr="00DF6076">
              <w:rPr>
                <w:rFonts w:cs="Arial"/>
                <w:bCs/>
                <w:iCs/>
                <w:color w:val="000000"/>
                <w:sz w:val="22"/>
              </w:rPr>
              <w:t>,</w:t>
            </w:r>
            <w:r w:rsidR="005270F9" w:rsidRPr="00DF6076">
              <w:rPr>
                <w:rFonts w:cs="Arial"/>
                <w:bCs/>
                <w:iCs/>
                <w:color w:val="000000"/>
                <w:sz w:val="22"/>
              </w:rPr>
              <w:t xml:space="preserve"> </w:t>
            </w:r>
            <w:r w:rsidR="008217F7" w:rsidRPr="00DF6076">
              <w:rPr>
                <w:rFonts w:cs="Arial"/>
                <w:bCs/>
                <w:iCs/>
                <w:color w:val="000000"/>
                <w:sz w:val="22"/>
              </w:rPr>
              <w:t xml:space="preserve">zasadil o </w:t>
            </w:r>
            <w:r w:rsidRPr="00DF6076">
              <w:rPr>
                <w:rFonts w:cs="Arial"/>
                <w:bCs/>
                <w:iCs/>
                <w:color w:val="000000"/>
                <w:sz w:val="22"/>
              </w:rPr>
              <w:t>v</w:t>
            </w:r>
            <w:r w:rsidRPr="00DF6076">
              <w:rPr>
                <w:rFonts w:cs="Arial"/>
                <w:bCs/>
                <w:iCs/>
                <w:sz w:val="22"/>
              </w:rPr>
              <w:t xml:space="preserve">ytvoření vhodných podmínek pro rozvoj projektů </w:t>
            </w:r>
            <w:r w:rsidR="008C05D0" w:rsidRPr="00DF6076">
              <w:rPr>
                <w:rFonts w:cs="Arial"/>
                <w:bCs/>
                <w:iCs/>
                <w:sz w:val="22"/>
              </w:rPr>
              <w:t xml:space="preserve">založených na využívání </w:t>
            </w:r>
            <w:r w:rsidRPr="00DF6076">
              <w:rPr>
                <w:rFonts w:cs="Arial"/>
                <w:bCs/>
                <w:iCs/>
                <w:sz w:val="22"/>
              </w:rPr>
              <w:t>geotermální energi</w:t>
            </w:r>
            <w:r w:rsidR="008C05D0" w:rsidRPr="00DF6076">
              <w:rPr>
                <w:rFonts w:cs="Arial"/>
                <w:bCs/>
                <w:iCs/>
                <w:sz w:val="22"/>
              </w:rPr>
              <w:t>e</w:t>
            </w:r>
            <w:r w:rsidR="005270F9" w:rsidRPr="00DF6076">
              <w:rPr>
                <w:rFonts w:cs="Arial"/>
                <w:bCs/>
                <w:iCs/>
                <w:sz w:val="22"/>
              </w:rPr>
              <w:t xml:space="preserve">, nebo </w:t>
            </w:r>
            <w:r w:rsidR="008C05D0" w:rsidRPr="00DF6076">
              <w:rPr>
                <w:rFonts w:cs="Arial"/>
                <w:bCs/>
                <w:iCs/>
                <w:sz w:val="22"/>
              </w:rPr>
              <w:t xml:space="preserve">projektů, které se věnují </w:t>
            </w:r>
            <w:r w:rsidR="005270F9" w:rsidRPr="00DF6076">
              <w:rPr>
                <w:rFonts w:cs="Arial"/>
                <w:bCs/>
                <w:iCs/>
                <w:sz w:val="22"/>
              </w:rPr>
              <w:t>ukládání tepla</w:t>
            </w:r>
            <w:r w:rsidR="00CD1A9A" w:rsidRPr="00DF6076">
              <w:rPr>
                <w:rFonts w:cs="Arial"/>
                <w:bCs/>
                <w:iCs/>
                <w:sz w:val="22"/>
              </w:rPr>
              <w:t xml:space="preserve">. </w:t>
            </w:r>
          </w:p>
          <w:p w14:paraId="69C35B1D" w14:textId="77777777" w:rsidR="008217F7" w:rsidRPr="00DF6076" w:rsidRDefault="008217F7" w:rsidP="00944693">
            <w:pPr>
              <w:spacing w:after="0" w:line="276" w:lineRule="auto"/>
              <w:jc w:val="both"/>
              <w:rPr>
                <w:rFonts w:cs="Arial"/>
                <w:b/>
                <w:bCs/>
                <w:iCs/>
                <w:sz w:val="22"/>
              </w:rPr>
            </w:pPr>
          </w:p>
          <w:p w14:paraId="761C52F8" w14:textId="3F476EC3" w:rsidR="00E56242" w:rsidRPr="00DF6076" w:rsidRDefault="00420043" w:rsidP="00944693">
            <w:pPr>
              <w:spacing w:after="0" w:line="276" w:lineRule="auto"/>
              <w:jc w:val="both"/>
              <w:rPr>
                <w:rFonts w:cs="Arial"/>
                <w:b/>
                <w:bCs/>
                <w:iCs/>
                <w:sz w:val="22"/>
              </w:rPr>
            </w:pPr>
            <w:r w:rsidRPr="00DF6076">
              <w:rPr>
                <w:rFonts w:cs="Arial"/>
                <w:b/>
                <w:bCs/>
                <w:iCs/>
                <w:sz w:val="22"/>
              </w:rPr>
              <w:t>Ministr</w:t>
            </w:r>
            <w:r w:rsidR="001568F5" w:rsidRPr="00DF6076">
              <w:rPr>
                <w:rFonts w:cs="Arial"/>
                <w:b/>
                <w:bCs/>
                <w:iCs/>
                <w:sz w:val="22"/>
              </w:rPr>
              <w:t>ovi</w:t>
            </w:r>
            <w:r w:rsidRPr="00DF6076">
              <w:rPr>
                <w:rFonts w:cs="Arial"/>
                <w:b/>
                <w:bCs/>
                <w:iCs/>
                <w:sz w:val="22"/>
              </w:rPr>
              <w:t xml:space="preserve"> průmyslu a obchodu</w:t>
            </w:r>
            <w:r w:rsidR="001568F5" w:rsidRPr="00DF6076">
              <w:rPr>
                <w:rFonts w:cs="Arial"/>
                <w:iCs/>
                <w:sz w:val="22"/>
              </w:rPr>
              <w:t xml:space="preserve">, aby </w:t>
            </w:r>
            <w:r w:rsidR="00E56242" w:rsidRPr="00DF6076">
              <w:rPr>
                <w:rFonts w:cs="Arial"/>
                <w:iCs/>
                <w:sz w:val="22"/>
              </w:rPr>
              <w:t xml:space="preserve">ve vzájemné koordinaci </w:t>
            </w:r>
            <w:r w:rsidRPr="00DF6076">
              <w:rPr>
                <w:rFonts w:cs="Arial"/>
                <w:iCs/>
                <w:sz w:val="22"/>
              </w:rPr>
              <w:t xml:space="preserve">a spolupráci s výše zmíněnými ministry </w:t>
            </w:r>
            <w:r w:rsidR="001568F5" w:rsidRPr="00DF6076">
              <w:rPr>
                <w:rFonts w:cs="Arial"/>
                <w:iCs/>
                <w:sz w:val="22"/>
              </w:rPr>
              <w:t xml:space="preserve">provedl </w:t>
            </w:r>
            <w:r w:rsidR="005270F9" w:rsidRPr="00DF6076">
              <w:rPr>
                <w:rFonts w:cs="Arial"/>
                <w:iCs/>
                <w:sz w:val="22"/>
              </w:rPr>
              <w:t xml:space="preserve">kontrolu, případně revizi související </w:t>
            </w:r>
            <w:r w:rsidR="00E56242" w:rsidRPr="00DF6076">
              <w:rPr>
                <w:rFonts w:cs="Arial"/>
                <w:iCs/>
                <w:sz w:val="22"/>
              </w:rPr>
              <w:t>legislativy</w:t>
            </w:r>
            <w:r w:rsidRPr="00DF6076">
              <w:rPr>
                <w:rFonts w:cs="Arial"/>
                <w:iCs/>
                <w:sz w:val="22"/>
              </w:rPr>
              <w:t xml:space="preserve"> </w:t>
            </w:r>
            <w:r w:rsidR="008C05D0" w:rsidRPr="00DF6076">
              <w:rPr>
                <w:rFonts w:cs="Arial"/>
                <w:iCs/>
                <w:sz w:val="22"/>
              </w:rPr>
              <w:t>a k</w:t>
            </w:r>
            <w:r w:rsidR="008217F7" w:rsidRPr="00DF6076">
              <w:rPr>
                <w:rFonts w:cs="Arial"/>
                <w:iCs/>
                <w:sz w:val="22"/>
              </w:rPr>
              <w:t>de to bude mít své opodstatnění</w:t>
            </w:r>
            <w:r w:rsidR="008C05D0" w:rsidRPr="00DF6076">
              <w:rPr>
                <w:rFonts w:cs="Arial"/>
                <w:iCs/>
                <w:sz w:val="22"/>
              </w:rPr>
              <w:t>, se</w:t>
            </w:r>
            <w:r w:rsidR="008217F7" w:rsidRPr="00DF6076">
              <w:rPr>
                <w:rFonts w:cs="Arial"/>
                <w:iCs/>
                <w:sz w:val="22"/>
              </w:rPr>
              <w:t xml:space="preserve"> zasad</w:t>
            </w:r>
            <w:r w:rsidR="001568F5" w:rsidRPr="00DF6076">
              <w:rPr>
                <w:rFonts w:cs="Arial"/>
                <w:iCs/>
                <w:sz w:val="22"/>
              </w:rPr>
              <w:t>il</w:t>
            </w:r>
            <w:r w:rsidR="008217F7" w:rsidRPr="00DF6076">
              <w:rPr>
                <w:rFonts w:cs="Arial"/>
                <w:iCs/>
                <w:sz w:val="22"/>
              </w:rPr>
              <w:t xml:space="preserve"> o její </w:t>
            </w:r>
            <w:r w:rsidR="00E56242" w:rsidRPr="00DF6076">
              <w:rPr>
                <w:rFonts w:cs="Arial"/>
                <w:iCs/>
                <w:sz w:val="22"/>
              </w:rPr>
              <w:t>zjednodušení</w:t>
            </w:r>
            <w:r w:rsidRPr="00DF6076">
              <w:rPr>
                <w:rFonts w:cs="Arial"/>
                <w:iCs/>
                <w:sz w:val="22"/>
              </w:rPr>
              <w:t>.</w:t>
            </w:r>
            <w:r w:rsidR="00E56242" w:rsidRPr="00DF6076">
              <w:rPr>
                <w:rFonts w:cs="Arial"/>
                <w:b/>
                <w:bCs/>
                <w:iCs/>
                <w:sz w:val="22"/>
              </w:rPr>
              <w:t xml:space="preserve"> </w:t>
            </w:r>
            <w:r w:rsidRPr="00DF6076">
              <w:rPr>
                <w:rFonts w:cs="Arial"/>
                <w:b/>
                <w:bCs/>
                <w:iCs/>
                <w:sz w:val="22"/>
              </w:rPr>
              <w:t xml:space="preserve"> </w:t>
            </w:r>
          </w:p>
          <w:p w14:paraId="44952BCB" w14:textId="77777777" w:rsidR="00E56242" w:rsidRPr="00DF6076" w:rsidRDefault="00E56242" w:rsidP="00944693">
            <w:pPr>
              <w:spacing w:after="0" w:line="276" w:lineRule="auto"/>
              <w:jc w:val="both"/>
              <w:rPr>
                <w:rFonts w:cs="Arial"/>
                <w:b/>
                <w:bCs/>
                <w:iCs/>
                <w:sz w:val="22"/>
              </w:rPr>
            </w:pPr>
          </w:p>
          <w:p w14:paraId="0687A16E" w14:textId="5AF88BFB" w:rsidR="00450B82" w:rsidRPr="00DF6076" w:rsidRDefault="008217F7" w:rsidP="00944693">
            <w:pPr>
              <w:spacing w:after="0" w:line="276" w:lineRule="auto"/>
              <w:jc w:val="both"/>
              <w:rPr>
                <w:rFonts w:cs="Arial"/>
                <w:iCs/>
                <w:color w:val="000000"/>
                <w:sz w:val="22"/>
              </w:rPr>
            </w:pPr>
            <w:r w:rsidRPr="00DF6076">
              <w:rPr>
                <w:rFonts w:cs="Arial"/>
                <w:b/>
                <w:bCs/>
                <w:iCs/>
                <w:sz w:val="22"/>
              </w:rPr>
              <w:t>Ministr</w:t>
            </w:r>
            <w:r w:rsidR="001568F5" w:rsidRPr="00DF6076">
              <w:rPr>
                <w:rFonts w:cs="Arial"/>
                <w:b/>
                <w:bCs/>
                <w:iCs/>
                <w:sz w:val="22"/>
              </w:rPr>
              <w:t>ovi</w:t>
            </w:r>
            <w:r w:rsidRPr="00DF6076">
              <w:rPr>
                <w:rFonts w:cs="Arial"/>
                <w:b/>
                <w:bCs/>
                <w:iCs/>
                <w:sz w:val="22"/>
              </w:rPr>
              <w:t xml:space="preserve"> životního prostředí</w:t>
            </w:r>
            <w:r w:rsidR="001568F5" w:rsidRPr="00DF6076">
              <w:rPr>
                <w:rFonts w:cs="Arial"/>
                <w:iCs/>
                <w:sz w:val="22"/>
              </w:rPr>
              <w:t xml:space="preserve">, aby </w:t>
            </w:r>
            <w:r w:rsidR="008C05D0" w:rsidRPr="00DF6076">
              <w:rPr>
                <w:rFonts w:cs="Arial"/>
                <w:iCs/>
                <w:sz w:val="22"/>
              </w:rPr>
              <w:t xml:space="preserve">ve spolupráci s výše zmíněnými ministry </w:t>
            </w:r>
            <w:r w:rsidR="00746846" w:rsidRPr="00DF6076">
              <w:rPr>
                <w:rFonts w:cs="Arial"/>
                <w:iCs/>
                <w:sz w:val="22"/>
              </w:rPr>
              <w:t xml:space="preserve">se </w:t>
            </w:r>
            <w:r w:rsidR="00420043" w:rsidRPr="00DF6076">
              <w:rPr>
                <w:rFonts w:cs="Arial"/>
                <w:iCs/>
                <w:sz w:val="22"/>
              </w:rPr>
              <w:t>pokus</w:t>
            </w:r>
            <w:r w:rsidR="001568F5" w:rsidRPr="00DF6076">
              <w:rPr>
                <w:rFonts w:cs="Arial"/>
                <w:iCs/>
                <w:sz w:val="22"/>
              </w:rPr>
              <w:t>il</w:t>
            </w:r>
            <w:r w:rsidR="00420043" w:rsidRPr="00DF6076">
              <w:rPr>
                <w:rFonts w:cs="Arial"/>
                <w:iCs/>
                <w:sz w:val="22"/>
              </w:rPr>
              <w:t xml:space="preserve"> </w:t>
            </w:r>
            <w:r w:rsidR="008C05D0" w:rsidRPr="00DF6076">
              <w:rPr>
                <w:rFonts w:cs="Arial"/>
                <w:iCs/>
                <w:sz w:val="22"/>
              </w:rPr>
              <w:t xml:space="preserve">nalézt a zajistit </w:t>
            </w:r>
            <w:r w:rsidR="00CD1A9A" w:rsidRPr="00DF6076">
              <w:rPr>
                <w:rFonts w:cs="Arial"/>
                <w:iCs/>
                <w:sz w:val="22"/>
              </w:rPr>
              <w:t>vhodné financování</w:t>
            </w:r>
            <w:r w:rsidR="008C05D0" w:rsidRPr="00DF6076">
              <w:rPr>
                <w:rFonts w:cs="Arial"/>
                <w:iCs/>
                <w:sz w:val="22"/>
              </w:rPr>
              <w:t xml:space="preserve"> aktivit</w:t>
            </w:r>
            <w:r w:rsidR="00CD1A9A" w:rsidRPr="00DF6076">
              <w:rPr>
                <w:rFonts w:cs="Arial"/>
                <w:iCs/>
                <w:sz w:val="22"/>
              </w:rPr>
              <w:t>, které umožní</w:t>
            </w:r>
            <w:r w:rsidR="00450B82" w:rsidRPr="00DF6076">
              <w:rPr>
                <w:rFonts w:cs="Arial"/>
                <w:iCs/>
                <w:color w:val="000000"/>
                <w:sz w:val="22"/>
              </w:rPr>
              <w:t xml:space="preserve">: </w:t>
            </w:r>
          </w:p>
          <w:p w14:paraId="24F46A12" w14:textId="77777777" w:rsidR="00746846" w:rsidRPr="00DF6076" w:rsidRDefault="00746846" w:rsidP="00944693">
            <w:pPr>
              <w:spacing w:after="0" w:line="276" w:lineRule="auto"/>
              <w:jc w:val="both"/>
              <w:rPr>
                <w:rFonts w:cs="Arial"/>
                <w:iCs/>
                <w:color w:val="000000"/>
                <w:sz w:val="22"/>
              </w:rPr>
            </w:pPr>
          </w:p>
          <w:p w14:paraId="5DAB8131" w14:textId="77777777" w:rsidR="004765E1" w:rsidRPr="00DF6076" w:rsidRDefault="00CD1A9A" w:rsidP="002E4092">
            <w:pPr>
              <w:pStyle w:val="Odstavecseseznamem"/>
              <w:numPr>
                <w:ilvl w:val="0"/>
                <w:numId w:val="25"/>
              </w:numPr>
              <w:spacing w:after="0" w:line="276" w:lineRule="auto"/>
              <w:jc w:val="both"/>
              <w:rPr>
                <w:rFonts w:cs="Arial"/>
                <w:iCs/>
                <w:color w:val="000000"/>
                <w:sz w:val="22"/>
              </w:rPr>
            </w:pPr>
            <w:r w:rsidRPr="00DF6076">
              <w:rPr>
                <w:rFonts w:cs="Arial"/>
                <w:iCs/>
                <w:color w:val="000000"/>
                <w:sz w:val="22"/>
              </w:rPr>
              <w:t>p</w:t>
            </w:r>
            <w:r w:rsidR="00450B82" w:rsidRPr="00DF6076">
              <w:rPr>
                <w:rFonts w:cs="Arial"/>
                <w:iCs/>
                <w:color w:val="000000"/>
                <w:sz w:val="22"/>
              </w:rPr>
              <w:t>rovést výzkum a mapování podrobných geologických podmínek</w:t>
            </w:r>
            <w:r w:rsidR="001E206E" w:rsidRPr="00DF6076">
              <w:rPr>
                <w:rFonts w:cs="Arial"/>
                <w:iCs/>
                <w:color w:val="000000"/>
                <w:sz w:val="22"/>
              </w:rPr>
              <w:t xml:space="preserve">, </w:t>
            </w:r>
            <w:r w:rsidR="00450B82" w:rsidRPr="00DF6076">
              <w:rPr>
                <w:rFonts w:cs="Arial"/>
                <w:iCs/>
                <w:color w:val="000000"/>
                <w:sz w:val="22"/>
              </w:rPr>
              <w:t>potenciálu a technické proveditelnosti využití</w:t>
            </w:r>
          </w:p>
          <w:p w14:paraId="494FEC07" w14:textId="68111744" w:rsidR="004765E1" w:rsidRPr="00DF6076" w:rsidRDefault="00450B82" w:rsidP="002E4092">
            <w:pPr>
              <w:pStyle w:val="Odstavecseseznamem"/>
              <w:numPr>
                <w:ilvl w:val="1"/>
                <w:numId w:val="25"/>
              </w:numPr>
              <w:spacing w:after="0" w:line="276" w:lineRule="auto"/>
              <w:jc w:val="both"/>
              <w:rPr>
                <w:rFonts w:cs="Arial"/>
                <w:iCs/>
                <w:color w:val="000000"/>
                <w:sz w:val="22"/>
              </w:rPr>
            </w:pPr>
            <w:r w:rsidRPr="00DF6076">
              <w:rPr>
                <w:rFonts w:cs="Arial"/>
                <w:iCs/>
                <w:color w:val="000000"/>
                <w:sz w:val="22"/>
              </w:rPr>
              <w:t>geotermální energie</w:t>
            </w:r>
            <w:r w:rsidR="001E206E" w:rsidRPr="00DF6076">
              <w:rPr>
                <w:rFonts w:cs="Arial"/>
                <w:iCs/>
                <w:color w:val="000000"/>
                <w:sz w:val="22"/>
              </w:rPr>
              <w:t xml:space="preserve"> pro účely výroby tepelné energie v rámci </w:t>
            </w:r>
            <w:r w:rsidRPr="00DF6076">
              <w:rPr>
                <w:rFonts w:cs="Arial"/>
                <w:iCs/>
                <w:color w:val="000000"/>
                <w:sz w:val="22"/>
              </w:rPr>
              <w:t>SZTE</w:t>
            </w:r>
            <w:r w:rsidR="001568F5" w:rsidRPr="00DF6076">
              <w:rPr>
                <w:rFonts w:cs="Arial"/>
                <w:iCs/>
                <w:color w:val="000000"/>
                <w:sz w:val="22"/>
              </w:rPr>
              <w:t xml:space="preserve"> a</w:t>
            </w:r>
            <w:r w:rsidRPr="00DF6076">
              <w:rPr>
                <w:rFonts w:cs="Arial"/>
                <w:iCs/>
                <w:color w:val="000000"/>
                <w:sz w:val="22"/>
              </w:rPr>
              <w:t xml:space="preserve"> průmyslov</w:t>
            </w:r>
            <w:r w:rsidR="001E206E" w:rsidRPr="00DF6076">
              <w:rPr>
                <w:rFonts w:cs="Arial"/>
                <w:iCs/>
                <w:color w:val="000000"/>
                <w:sz w:val="22"/>
              </w:rPr>
              <w:t>ých</w:t>
            </w:r>
            <w:r w:rsidRPr="00DF6076">
              <w:rPr>
                <w:rFonts w:cs="Arial"/>
                <w:iCs/>
                <w:color w:val="000000"/>
                <w:sz w:val="22"/>
              </w:rPr>
              <w:t xml:space="preserve"> aplikac</w:t>
            </w:r>
            <w:r w:rsidR="001E206E" w:rsidRPr="00DF6076">
              <w:rPr>
                <w:rFonts w:cs="Arial"/>
                <w:iCs/>
                <w:color w:val="000000"/>
                <w:sz w:val="22"/>
              </w:rPr>
              <w:t>í</w:t>
            </w:r>
            <w:r w:rsidR="001568F5" w:rsidRPr="00DF6076">
              <w:rPr>
                <w:rFonts w:cs="Arial"/>
                <w:iCs/>
                <w:color w:val="000000"/>
                <w:sz w:val="22"/>
              </w:rPr>
              <w:t>,</w:t>
            </w:r>
            <w:r w:rsidRPr="00DF6076">
              <w:rPr>
                <w:rFonts w:cs="Arial"/>
                <w:iCs/>
                <w:color w:val="000000"/>
                <w:sz w:val="22"/>
              </w:rPr>
              <w:t xml:space="preserve"> případně kombinovan</w:t>
            </w:r>
            <w:r w:rsidR="001E206E" w:rsidRPr="00DF6076">
              <w:rPr>
                <w:rFonts w:cs="Arial"/>
                <w:iCs/>
                <w:color w:val="000000"/>
                <w:sz w:val="22"/>
              </w:rPr>
              <w:t>é</w:t>
            </w:r>
            <w:r w:rsidRPr="00DF6076">
              <w:rPr>
                <w:rFonts w:cs="Arial"/>
                <w:iCs/>
                <w:color w:val="000000"/>
                <w:sz w:val="22"/>
              </w:rPr>
              <w:t xml:space="preserve"> výrob</w:t>
            </w:r>
            <w:r w:rsidR="001E206E" w:rsidRPr="00DF6076">
              <w:rPr>
                <w:rFonts w:cs="Arial"/>
                <w:iCs/>
                <w:color w:val="000000"/>
                <w:sz w:val="22"/>
              </w:rPr>
              <w:t>y</w:t>
            </w:r>
            <w:r w:rsidRPr="00DF6076">
              <w:rPr>
                <w:rFonts w:cs="Arial"/>
                <w:iCs/>
                <w:color w:val="000000"/>
                <w:sz w:val="22"/>
              </w:rPr>
              <w:t xml:space="preserve"> elektřiny</w:t>
            </w:r>
            <w:r w:rsidR="001E206E" w:rsidRPr="00DF6076">
              <w:rPr>
                <w:rFonts w:cs="Arial"/>
                <w:iCs/>
                <w:color w:val="000000"/>
                <w:sz w:val="22"/>
              </w:rPr>
              <w:t xml:space="preserve"> a tepla</w:t>
            </w:r>
            <w:r w:rsidR="004765E1" w:rsidRPr="00DF6076">
              <w:rPr>
                <w:rFonts w:cs="Arial"/>
                <w:iCs/>
                <w:color w:val="000000"/>
                <w:sz w:val="22"/>
              </w:rPr>
              <w:t>.</w:t>
            </w:r>
          </w:p>
          <w:p w14:paraId="3B720507" w14:textId="2939F35C" w:rsidR="000B151C" w:rsidRPr="00DF6076" w:rsidRDefault="00450B82" w:rsidP="002E4092">
            <w:pPr>
              <w:pStyle w:val="Odstavecseseznamem"/>
              <w:numPr>
                <w:ilvl w:val="1"/>
                <w:numId w:val="25"/>
              </w:numPr>
              <w:spacing w:after="0" w:line="276" w:lineRule="auto"/>
              <w:jc w:val="both"/>
              <w:rPr>
                <w:rFonts w:cs="Arial"/>
                <w:iCs/>
                <w:color w:val="000000"/>
                <w:sz w:val="22"/>
              </w:rPr>
            </w:pPr>
            <w:r w:rsidRPr="00DF6076">
              <w:rPr>
                <w:rFonts w:cs="Arial"/>
                <w:iCs/>
                <w:color w:val="000000"/>
                <w:sz w:val="22"/>
              </w:rPr>
              <w:t>akumulac</w:t>
            </w:r>
            <w:r w:rsidR="000B151C" w:rsidRPr="00DF6076">
              <w:rPr>
                <w:rFonts w:cs="Arial"/>
                <w:iCs/>
                <w:color w:val="000000"/>
                <w:sz w:val="22"/>
              </w:rPr>
              <w:t>e</w:t>
            </w:r>
            <w:r w:rsidRPr="00DF6076">
              <w:rPr>
                <w:rFonts w:cs="Arial"/>
                <w:iCs/>
                <w:color w:val="000000"/>
                <w:sz w:val="22"/>
              </w:rPr>
              <w:t xml:space="preserve"> tepelné energie</w:t>
            </w:r>
            <w:r w:rsidR="004765E1" w:rsidRPr="00DF6076">
              <w:rPr>
                <w:rFonts w:cs="Arial"/>
                <w:iCs/>
                <w:color w:val="000000"/>
                <w:sz w:val="22"/>
              </w:rPr>
              <w:t>, nebo chladu</w:t>
            </w:r>
            <w:r w:rsidRPr="00DF6076">
              <w:rPr>
                <w:rFonts w:cs="Arial"/>
                <w:iCs/>
                <w:color w:val="000000"/>
                <w:sz w:val="22"/>
              </w:rPr>
              <w:t xml:space="preserve"> do horninového prostředí</w:t>
            </w:r>
          </w:p>
          <w:p w14:paraId="1B7D8E18" w14:textId="77777777" w:rsidR="00746846" w:rsidRPr="00DF6076" w:rsidRDefault="00746846" w:rsidP="00746846">
            <w:pPr>
              <w:spacing w:after="0" w:line="276" w:lineRule="auto"/>
              <w:ind w:left="720"/>
              <w:jc w:val="both"/>
              <w:rPr>
                <w:rFonts w:cs="Arial"/>
                <w:bCs/>
                <w:iCs/>
                <w:color w:val="000000"/>
                <w:sz w:val="22"/>
              </w:rPr>
            </w:pPr>
          </w:p>
          <w:p w14:paraId="71063593" w14:textId="08C21901" w:rsidR="003716AA" w:rsidRPr="00DF6076" w:rsidRDefault="00CD1A9A" w:rsidP="002E4092">
            <w:pPr>
              <w:pStyle w:val="Odstavecseseznamem"/>
              <w:numPr>
                <w:ilvl w:val="0"/>
                <w:numId w:val="25"/>
              </w:numPr>
              <w:spacing w:after="0" w:line="276" w:lineRule="auto"/>
              <w:jc w:val="both"/>
              <w:rPr>
                <w:rFonts w:cs="Arial"/>
                <w:bCs/>
                <w:iCs/>
                <w:color w:val="000000"/>
                <w:sz w:val="22"/>
              </w:rPr>
            </w:pPr>
            <w:r w:rsidRPr="00DF6076">
              <w:rPr>
                <w:rFonts w:cs="Arial"/>
                <w:bCs/>
                <w:iCs/>
                <w:color w:val="000000"/>
                <w:sz w:val="22"/>
              </w:rPr>
              <w:t>p</w:t>
            </w:r>
            <w:r w:rsidR="00450B82" w:rsidRPr="00DF6076">
              <w:rPr>
                <w:rFonts w:cs="Arial"/>
                <w:bCs/>
                <w:iCs/>
                <w:color w:val="000000"/>
                <w:sz w:val="22"/>
              </w:rPr>
              <w:t xml:space="preserve">odpořit </w:t>
            </w:r>
            <w:r w:rsidR="00746846" w:rsidRPr="00DF6076">
              <w:rPr>
                <w:rFonts w:cs="Arial"/>
                <w:bCs/>
                <w:iCs/>
                <w:color w:val="000000"/>
                <w:sz w:val="22"/>
              </w:rPr>
              <w:t xml:space="preserve">demonstrační, plně funkční </w:t>
            </w:r>
            <w:r w:rsidR="00450B82" w:rsidRPr="00DF6076">
              <w:rPr>
                <w:rFonts w:cs="Arial"/>
                <w:bCs/>
                <w:iCs/>
                <w:color w:val="000000"/>
                <w:sz w:val="22"/>
              </w:rPr>
              <w:t xml:space="preserve">projekty </w:t>
            </w:r>
          </w:p>
          <w:p w14:paraId="5D3610BD" w14:textId="491963CC" w:rsidR="003716AA" w:rsidRPr="00DF6076" w:rsidRDefault="003716AA" w:rsidP="002E4092">
            <w:pPr>
              <w:pStyle w:val="Odstavecseseznamem"/>
              <w:numPr>
                <w:ilvl w:val="1"/>
                <w:numId w:val="25"/>
              </w:numPr>
              <w:spacing w:after="0" w:line="276" w:lineRule="auto"/>
              <w:jc w:val="both"/>
              <w:rPr>
                <w:rFonts w:cs="Arial"/>
                <w:bCs/>
                <w:iCs/>
                <w:color w:val="000000"/>
                <w:sz w:val="22"/>
              </w:rPr>
            </w:pPr>
            <w:r w:rsidRPr="00DF6076">
              <w:rPr>
                <w:rFonts w:cs="Arial"/>
                <w:bCs/>
                <w:iCs/>
                <w:color w:val="000000"/>
                <w:sz w:val="22"/>
              </w:rPr>
              <w:t>v oblasti</w:t>
            </w:r>
            <w:r w:rsidR="00450B82" w:rsidRPr="00DF6076">
              <w:rPr>
                <w:rFonts w:cs="Arial"/>
                <w:bCs/>
                <w:iCs/>
                <w:color w:val="000000"/>
                <w:sz w:val="22"/>
              </w:rPr>
              <w:t xml:space="preserve"> využití geotermální energie pro účely výroby tepla v rámci SZTE</w:t>
            </w:r>
            <w:r w:rsidR="00214371" w:rsidRPr="00DF6076">
              <w:rPr>
                <w:rFonts w:cs="Arial"/>
                <w:bCs/>
                <w:iCs/>
                <w:color w:val="000000"/>
                <w:sz w:val="22"/>
              </w:rPr>
              <w:t xml:space="preserve"> nebo</w:t>
            </w:r>
            <w:r w:rsidRPr="00DF6076">
              <w:rPr>
                <w:rFonts w:cs="Arial"/>
                <w:bCs/>
                <w:iCs/>
                <w:color w:val="000000"/>
                <w:sz w:val="22"/>
              </w:rPr>
              <w:t xml:space="preserve"> kombinované výroby elektřiny a tepla, </w:t>
            </w:r>
          </w:p>
          <w:p w14:paraId="407331DC" w14:textId="528DA336" w:rsidR="00746846" w:rsidRPr="00DF6076" w:rsidRDefault="003716AA" w:rsidP="002E4092">
            <w:pPr>
              <w:pStyle w:val="Odstavecseseznamem"/>
              <w:numPr>
                <w:ilvl w:val="1"/>
                <w:numId w:val="25"/>
              </w:numPr>
              <w:spacing w:after="0" w:line="276" w:lineRule="auto"/>
              <w:jc w:val="both"/>
              <w:rPr>
                <w:rFonts w:cs="Arial"/>
                <w:bCs/>
                <w:iCs/>
                <w:sz w:val="22"/>
              </w:rPr>
            </w:pPr>
            <w:r w:rsidRPr="00DF6076">
              <w:rPr>
                <w:rFonts w:cs="Arial"/>
                <w:bCs/>
                <w:iCs/>
                <w:color w:val="000000"/>
                <w:sz w:val="22"/>
              </w:rPr>
              <w:t>v oblasti</w:t>
            </w:r>
            <w:r w:rsidR="00450B82" w:rsidRPr="00DF6076">
              <w:rPr>
                <w:rFonts w:cs="Arial"/>
                <w:bCs/>
                <w:iCs/>
                <w:color w:val="000000"/>
                <w:sz w:val="22"/>
              </w:rPr>
              <w:t xml:space="preserve"> akumulac</w:t>
            </w:r>
            <w:r w:rsidRPr="00DF6076">
              <w:rPr>
                <w:rFonts w:cs="Arial"/>
                <w:bCs/>
                <w:iCs/>
                <w:color w:val="000000"/>
                <w:sz w:val="22"/>
              </w:rPr>
              <w:t>e</w:t>
            </w:r>
            <w:r w:rsidR="00450B82" w:rsidRPr="00DF6076">
              <w:rPr>
                <w:rFonts w:cs="Arial"/>
                <w:bCs/>
                <w:iCs/>
                <w:color w:val="000000"/>
                <w:sz w:val="22"/>
              </w:rPr>
              <w:t xml:space="preserve"> tepelné energie</w:t>
            </w:r>
            <w:r w:rsidR="00746846" w:rsidRPr="00DF6076">
              <w:rPr>
                <w:rFonts w:cs="Arial"/>
                <w:bCs/>
                <w:iCs/>
                <w:color w:val="000000"/>
                <w:sz w:val="22"/>
              </w:rPr>
              <w:t xml:space="preserve"> tj.  </w:t>
            </w:r>
            <w:r w:rsidRPr="00DF6076">
              <w:rPr>
                <w:rFonts w:cs="Arial"/>
                <w:bCs/>
                <w:iCs/>
                <w:color w:val="000000"/>
                <w:sz w:val="22"/>
              </w:rPr>
              <w:t xml:space="preserve">tepla/chladu </w:t>
            </w:r>
            <w:r w:rsidR="00450B82" w:rsidRPr="00DF6076">
              <w:rPr>
                <w:rFonts w:cs="Arial"/>
                <w:bCs/>
                <w:iCs/>
                <w:color w:val="000000"/>
                <w:sz w:val="22"/>
              </w:rPr>
              <w:t>do horninového prostředí</w:t>
            </w:r>
          </w:p>
          <w:p w14:paraId="64263C39" w14:textId="77777777" w:rsidR="00746846" w:rsidRPr="00DF6076" w:rsidRDefault="00746846" w:rsidP="00746846">
            <w:pPr>
              <w:spacing w:after="0" w:line="276" w:lineRule="auto"/>
              <w:ind w:left="720"/>
              <w:jc w:val="both"/>
              <w:rPr>
                <w:rFonts w:cs="Arial"/>
                <w:bCs/>
                <w:iCs/>
                <w:sz w:val="22"/>
              </w:rPr>
            </w:pPr>
          </w:p>
          <w:p w14:paraId="09B3E800" w14:textId="15B44DDD" w:rsidR="00450B82" w:rsidRPr="00DF6076" w:rsidRDefault="00746846" w:rsidP="00746846">
            <w:pPr>
              <w:spacing w:after="0" w:line="276" w:lineRule="auto"/>
              <w:jc w:val="both"/>
              <w:rPr>
                <w:rFonts w:cs="Arial"/>
                <w:b/>
                <w:iCs/>
                <w:sz w:val="22"/>
              </w:rPr>
            </w:pPr>
            <w:r w:rsidRPr="00DF6076">
              <w:rPr>
                <w:rFonts w:cs="Arial"/>
                <w:b/>
                <w:iCs/>
                <w:sz w:val="22"/>
              </w:rPr>
              <w:t xml:space="preserve">Výše zmíněné úkoly pak ministr životního prostředí bude realizovat </w:t>
            </w:r>
            <w:r w:rsidR="000B151C" w:rsidRPr="00DF6076">
              <w:rPr>
                <w:rFonts w:cs="Arial"/>
                <w:b/>
                <w:iCs/>
                <w:sz w:val="22"/>
              </w:rPr>
              <w:t>se zvláštním zřetelem na lokality v</w:t>
            </w:r>
            <w:r w:rsidR="00B073EA" w:rsidRPr="00DF6076">
              <w:rPr>
                <w:rFonts w:cs="Arial"/>
                <w:b/>
                <w:iCs/>
                <w:sz w:val="22"/>
              </w:rPr>
              <w:t> Karlovarském, Ústeckém a Moravskoslezském kraji.</w:t>
            </w:r>
          </w:p>
        </w:tc>
      </w:tr>
      <w:tr w:rsidR="00450B82" w:rsidRPr="00E45B66" w14:paraId="45923139" w14:textId="77777777" w:rsidTr="00944693">
        <w:trPr>
          <w:trHeight w:val="323"/>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5AF54C1F" w14:textId="77777777" w:rsidR="00450B82" w:rsidRPr="00450B82" w:rsidRDefault="00450B82" w:rsidP="00944693">
            <w:pPr>
              <w:spacing w:after="0" w:line="276" w:lineRule="auto"/>
              <w:rPr>
                <w:rFonts w:cs="Arial"/>
                <w:b/>
                <w:bCs/>
                <w:sz w:val="22"/>
              </w:rPr>
            </w:pPr>
            <w:r w:rsidRPr="00450B82">
              <w:rPr>
                <w:rFonts w:cs="Arial"/>
                <w:b/>
                <w:bCs/>
                <w:sz w:val="22"/>
              </w:rPr>
              <w:t>Pilíř/pilíře</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0F7639C0" w14:textId="77777777" w:rsidR="00450B82" w:rsidRPr="00450B82" w:rsidRDefault="00450B82" w:rsidP="00944693">
            <w:pPr>
              <w:spacing w:after="0"/>
              <w:jc w:val="both"/>
              <w:rPr>
                <w:rFonts w:cs="Arial"/>
                <w:bCs/>
                <w:sz w:val="22"/>
              </w:rPr>
            </w:pPr>
            <w:r w:rsidRPr="00450B82">
              <w:rPr>
                <w:rFonts w:cs="Arial"/>
                <w:bCs/>
                <w:sz w:val="22"/>
              </w:rPr>
              <w:t>F – Životní prostředí</w:t>
            </w:r>
          </w:p>
        </w:tc>
      </w:tr>
      <w:tr w:rsidR="00450B82" w:rsidRPr="00E45B66" w14:paraId="3BDFFAD8" w14:textId="77777777" w:rsidTr="00944693">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773392" w14:textId="77777777" w:rsidR="00450B82" w:rsidRPr="00450B82" w:rsidRDefault="00450B82" w:rsidP="00944693">
            <w:pPr>
              <w:spacing w:after="0" w:line="276" w:lineRule="auto"/>
              <w:rPr>
                <w:rFonts w:cs="Arial"/>
                <w:b/>
                <w:bCs/>
                <w:sz w:val="22"/>
              </w:rPr>
            </w:pPr>
            <w:r w:rsidRPr="00450B82">
              <w:rPr>
                <w:rFonts w:cs="Arial"/>
                <w:b/>
                <w:bCs/>
                <w:sz w:val="22"/>
              </w:rPr>
              <w:t>Strategický cíl/cíle</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02360A" w14:textId="107A71EB" w:rsidR="00450B82" w:rsidRPr="00450B82" w:rsidRDefault="00450B82" w:rsidP="006814A0">
            <w:pPr>
              <w:rPr>
                <w:rFonts w:cs="Arial"/>
                <w:sz w:val="22"/>
              </w:rPr>
            </w:pPr>
            <w:r w:rsidRPr="00450B82">
              <w:rPr>
                <w:rFonts w:cs="Arial"/>
                <w:sz w:val="22"/>
              </w:rPr>
              <w:t>F.3</w:t>
            </w:r>
            <w:r w:rsidR="006814A0">
              <w:rPr>
                <w:rFonts w:cs="Arial"/>
                <w:sz w:val="22"/>
              </w:rPr>
              <w:t xml:space="preserve"> </w:t>
            </w:r>
            <w:r w:rsidR="006814A0" w:rsidRPr="006814A0">
              <w:rPr>
                <w:rFonts w:cs="Arial"/>
                <w:sz w:val="22"/>
              </w:rPr>
              <w:t>Transformace energetiky ve strukturálně postižených krajích, využití nových příležitostí</w:t>
            </w:r>
          </w:p>
        </w:tc>
      </w:tr>
      <w:tr w:rsidR="00450B82" w:rsidRPr="00E45B66" w14:paraId="298BDE0D" w14:textId="77777777" w:rsidTr="00944693">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A708D0" w14:textId="77777777" w:rsidR="00450B82" w:rsidRPr="00450B82" w:rsidRDefault="00450B82" w:rsidP="00944693">
            <w:pPr>
              <w:spacing w:after="0" w:line="276" w:lineRule="auto"/>
              <w:rPr>
                <w:rFonts w:cs="Arial"/>
                <w:b/>
                <w:bCs/>
                <w:sz w:val="22"/>
              </w:rPr>
            </w:pPr>
            <w:r w:rsidRPr="00450B82">
              <w:rPr>
                <w:rFonts w:cs="Arial"/>
                <w:b/>
                <w:bCs/>
                <w:sz w:val="22"/>
              </w:rPr>
              <w:t>Oblast změn – indikátory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09CCF6" w14:textId="43FF9B54" w:rsidR="00450B82" w:rsidRPr="00450B82" w:rsidRDefault="00450B82" w:rsidP="00944693">
            <w:pPr>
              <w:spacing w:after="0"/>
              <w:jc w:val="both"/>
              <w:rPr>
                <w:rFonts w:cs="Arial"/>
                <w:bCs/>
                <w:sz w:val="22"/>
              </w:rPr>
            </w:pPr>
            <w:r w:rsidRPr="00450B82">
              <w:rPr>
                <w:rFonts w:cs="Arial"/>
                <w:bCs/>
                <w:sz w:val="22"/>
              </w:rPr>
              <w:t>Změny</w:t>
            </w:r>
            <w:r w:rsidR="00C528C5">
              <w:rPr>
                <w:rFonts w:cs="Arial"/>
                <w:bCs/>
                <w:sz w:val="22"/>
              </w:rPr>
              <w:t xml:space="preserve"> sledované </w:t>
            </w:r>
            <w:r w:rsidR="0091213F">
              <w:rPr>
                <w:rFonts w:cs="Arial"/>
                <w:bCs/>
                <w:sz w:val="22"/>
              </w:rPr>
              <w:t xml:space="preserve">zejména </w:t>
            </w:r>
            <w:r w:rsidR="00C528C5">
              <w:rPr>
                <w:rFonts w:cs="Arial"/>
                <w:bCs/>
                <w:sz w:val="22"/>
              </w:rPr>
              <w:t>na území strukturálně postižených krajů</w:t>
            </w:r>
            <w:r w:rsidRPr="00450B82">
              <w:rPr>
                <w:rFonts w:cs="Arial"/>
                <w:bCs/>
                <w:sz w:val="22"/>
              </w:rPr>
              <w:t xml:space="preserve">: </w:t>
            </w:r>
          </w:p>
          <w:p w14:paraId="63DD662B" w14:textId="6A0657AA" w:rsidR="00B76D2B" w:rsidRPr="00A91EE3" w:rsidRDefault="00B76D2B" w:rsidP="002E4092">
            <w:pPr>
              <w:pStyle w:val="Odstavecseseznamem"/>
              <w:numPr>
                <w:ilvl w:val="0"/>
                <w:numId w:val="26"/>
              </w:numPr>
              <w:spacing w:after="0"/>
              <w:jc w:val="both"/>
              <w:rPr>
                <w:rFonts w:cs="Arial"/>
                <w:bCs/>
                <w:sz w:val="22"/>
              </w:rPr>
            </w:pPr>
            <w:r w:rsidRPr="00A91EE3">
              <w:rPr>
                <w:rFonts w:cs="Arial"/>
                <w:bCs/>
                <w:sz w:val="22"/>
              </w:rPr>
              <w:t xml:space="preserve">Zlepšení znalostí o území a jeho potenciálu </w:t>
            </w:r>
            <w:r w:rsidR="003F2C87">
              <w:rPr>
                <w:rFonts w:cs="Arial"/>
                <w:bCs/>
                <w:sz w:val="22"/>
              </w:rPr>
              <w:t xml:space="preserve">a vytvoření </w:t>
            </w:r>
            <w:r w:rsidR="003F2C87" w:rsidRPr="00A91EE3">
              <w:rPr>
                <w:rFonts w:cs="Arial"/>
                <w:bCs/>
                <w:sz w:val="22"/>
              </w:rPr>
              <w:t xml:space="preserve">podpůrných analytických podkladů na základě geologických, </w:t>
            </w:r>
            <w:r w:rsidR="003F2C87" w:rsidRPr="00A91EE3">
              <w:rPr>
                <w:rFonts w:cs="Arial"/>
                <w:bCs/>
                <w:sz w:val="22"/>
              </w:rPr>
              <w:lastRenderedPageBreak/>
              <w:t xml:space="preserve">geotermických a geofyzikálních dat usnadní rozvoj a </w:t>
            </w:r>
            <w:r w:rsidRPr="00A91EE3">
              <w:rPr>
                <w:rFonts w:cs="Arial"/>
                <w:bCs/>
                <w:sz w:val="22"/>
              </w:rPr>
              <w:t xml:space="preserve">využití geotermální energie </w:t>
            </w:r>
            <w:r w:rsidR="003F2C87">
              <w:rPr>
                <w:rFonts w:cs="Arial"/>
                <w:bCs/>
                <w:sz w:val="22"/>
              </w:rPr>
              <w:t>ve vhodných lokalitách</w:t>
            </w:r>
            <w:r w:rsidRPr="00A91EE3">
              <w:rPr>
                <w:rFonts w:cs="Arial"/>
                <w:bCs/>
                <w:sz w:val="22"/>
              </w:rPr>
              <w:t>.</w:t>
            </w:r>
            <w:r w:rsidR="003F2C87">
              <w:rPr>
                <w:rFonts w:cs="Arial"/>
                <w:bCs/>
                <w:sz w:val="22"/>
              </w:rPr>
              <w:t xml:space="preserve"> </w:t>
            </w:r>
          </w:p>
          <w:p w14:paraId="5BB5671F" w14:textId="62B0901D" w:rsidR="00B76D2B" w:rsidRDefault="00B76D2B" w:rsidP="002E4092">
            <w:pPr>
              <w:pStyle w:val="Odstavecseseznamem"/>
              <w:numPr>
                <w:ilvl w:val="0"/>
                <w:numId w:val="26"/>
              </w:numPr>
              <w:spacing w:after="0"/>
              <w:jc w:val="both"/>
              <w:rPr>
                <w:rFonts w:cs="Arial"/>
                <w:bCs/>
                <w:sz w:val="22"/>
              </w:rPr>
            </w:pPr>
            <w:r w:rsidRPr="002A2432">
              <w:rPr>
                <w:rFonts w:cs="Arial"/>
                <w:bCs/>
                <w:sz w:val="22"/>
              </w:rPr>
              <w:t>V</w:t>
            </w:r>
            <w:r>
              <w:rPr>
                <w:rFonts w:cs="Arial"/>
                <w:bCs/>
                <w:sz w:val="22"/>
              </w:rPr>
              <w:t> </w:t>
            </w:r>
            <w:r w:rsidRPr="002A2432">
              <w:rPr>
                <w:rFonts w:cs="Arial"/>
                <w:bCs/>
                <w:sz w:val="22"/>
              </w:rPr>
              <w:t>případech</w:t>
            </w:r>
            <w:r>
              <w:rPr>
                <w:rFonts w:cs="Arial"/>
                <w:bCs/>
                <w:sz w:val="22"/>
              </w:rPr>
              <w:t xml:space="preserve">, kdy se </w:t>
            </w:r>
            <w:r w:rsidRPr="002A2432">
              <w:rPr>
                <w:rFonts w:cs="Arial"/>
                <w:bCs/>
                <w:sz w:val="22"/>
              </w:rPr>
              <w:t>realizace konkrétních projektů</w:t>
            </w:r>
            <w:r>
              <w:rPr>
                <w:rFonts w:cs="Arial"/>
                <w:bCs/>
                <w:sz w:val="22"/>
              </w:rPr>
              <w:t xml:space="preserve"> ukáže jako výhodná</w:t>
            </w:r>
            <w:r w:rsidRPr="002A2432">
              <w:rPr>
                <w:rFonts w:cs="Arial"/>
                <w:bCs/>
                <w:sz w:val="22"/>
              </w:rPr>
              <w:t xml:space="preserve">, </w:t>
            </w:r>
            <w:r>
              <w:rPr>
                <w:rFonts w:cs="Arial"/>
                <w:bCs/>
                <w:sz w:val="22"/>
              </w:rPr>
              <w:t xml:space="preserve">mj. díky průzkumu a </w:t>
            </w:r>
            <w:r w:rsidRPr="002A2432">
              <w:rPr>
                <w:rFonts w:cs="Arial"/>
                <w:bCs/>
                <w:sz w:val="22"/>
              </w:rPr>
              <w:t>vyhodnocení vhodných geologických podmínek</w:t>
            </w:r>
            <w:r>
              <w:rPr>
                <w:rFonts w:cs="Arial"/>
                <w:bCs/>
                <w:sz w:val="22"/>
              </w:rPr>
              <w:t xml:space="preserve"> a technické proveditelnosti</w:t>
            </w:r>
            <w:r w:rsidR="003F2C87">
              <w:rPr>
                <w:rFonts w:cs="Arial"/>
                <w:bCs/>
                <w:sz w:val="22"/>
              </w:rPr>
              <w:t xml:space="preserve"> (viz výše)</w:t>
            </w:r>
            <w:r>
              <w:rPr>
                <w:rFonts w:cs="Arial"/>
                <w:bCs/>
                <w:sz w:val="22"/>
              </w:rPr>
              <w:t xml:space="preserve">, </w:t>
            </w:r>
            <w:r w:rsidRPr="002A2432">
              <w:rPr>
                <w:rFonts w:cs="Arial"/>
                <w:bCs/>
                <w:sz w:val="22"/>
              </w:rPr>
              <w:t xml:space="preserve">bude pozitivním přínosem </w:t>
            </w:r>
            <w:r>
              <w:rPr>
                <w:rFonts w:cs="Arial"/>
                <w:bCs/>
                <w:sz w:val="22"/>
              </w:rPr>
              <w:t xml:space="preserve">navrženého </w:t>
            </w:r>
            <w:r w:rsidRPr="002A2432">
              <w:rPr>
                <w:rFonts w:cs="Arial"/>
                <w:bCs/>
                <w:sz w:val="22"/>
              </w:rPr>
              <w:t xml:space="preserve">opatření vyšší počet plánovaných projektů, které </w:t>
            </w:r>
            <w:r>
              <w:rPr>
                <w:rFonts w:cs="Arial"/>
                <w:bCs/>
                <w:sz w:val="22"/>
              </w:rPr>
              <w:t xml:space="preserve">budou chtít </w:t>
            </w:r>
            <w:r w:rsidRPr="002A2432">
              <w:rPr>
                <w:rFonts w:cs="Arial"/>
                <w:bCs/>
                <w:sz w:val="22"/>
              </w:rPr>
              <w:t xml:space="preserve">využít geotermální energii pro účely výroby tepla </w:t>
            </w:r>
            <w:r w:rsidR="003F2C87">
              <w:rPr>
                <w:rFonts w:cs="Arial"/>
                <w:bCs/>
                <w:sz w:val="22"/>
              </w:rPr>
              <w:t xml:space="preserve">v rámci </w:t>
            </w:r>
            <w:r w:rsidRPr="002A2432">
              <w:rPr>
                <w:rFonts w:cs="Arial"/>
                <w:bCs/>
                <w:sz w:val="22"/>
              </w:rPr>
              <w:t>SZTE</w:t>
            </w:r>
            <w:r>
              <w:rPr>
                <w:rFonts w:cs="Arial"/>
                <w:bCs/>
                <w:sz w:val="22"/>
              </w:rPr>
              <w:t>,</w:t>
            </w:r>
            <w:r w:rsidRPr="002A2432">
              <w:rPr>
                <w:rFonts w:cs="Arial"/>
                <w:bCs/>
                <w:sz w:val="22"/>
              </w:rPr>
              <w:t xml:space="preserve"> v</w:t>
            </w:r>
            <w:r w:rsidR="00172C84">
              <w:rPr>
                <w:rFonts w:cs="Arial"/>
                <w:bCs/>
                <w:sz w:val="22"/>
              </w:rPr>
              <w:t> </w:t>
            </w:r>
            <w:r w:rsidRPr="002A2432">
              <w:rPr>
                <w:rFonts w:cs="Arial"/>
                <w:bCs/>
                <w:sz w:val="22"/>
              </w:rPr>
              <w:t>průmyslových aplikacích, nebo pro kombinovanou výrobu tepla a elektřiny</w:t>
            </w:r>
            <w:r>
              <w:rPr>
                <w:rFonts w:cs="Arial"/>
                <w:bCs/>
                <w:sz w:val="22"/>
              </w:rPr>
              <w:t xml:space="preserve">. Výše napsané platí i pro řešení spojená s </w:t>
            </w:r>
            <w:r w:rsidRPr="002A2432">
              <w:rPr>
                <w:rFonts w:cs="Arial"/>
                <w:bCs/>
                <w:sz w:val="22"/>
              </w:rPr>
              <w:t>akumulaci tepelné energie</w:t>
            </w:r>
            <w:r>
              <w:rPr>
                <w:rFonts w:cs="Arial"/>
                <w:bCs/>
                <w:sz w:val="22"/>
              </w:rPr>
              <w:t xml:space="preserve"> (tepla/chladu) do horninového, nebo jiného vhodného prostředí.</w:t>
            </w:r>
          </w:p>
          <w:p w14:paraId="3FC33785" w14:textId="0BA2B6BD" w:rsidR="00C528C5" w:rsidRPr="00C528C5" w:rsidRDefault="00450B82" w:rsidP="002E4092">
            <w:pPr>
              <w:pStyle w:val="Odstavecseseznamem"/>
              <w:numPr>
                <w:ilvl w:val="0"/>
                <w:numId w:val="26"/>
              </w:numPr>
              <w:spacing w:after="0"/>
              <w:jc w:val="both"/>
              <w:rPr>
                <w:rFonts w:cs="Arial"/>
                <w:bCs/>
                <w:sz w:val="22"/>
              </w:rPr>
            </w:pPr>
            <w:r w:rsidRPr="00C528C5">
              <w:rPr>
                <w:rFonts w:cs="Arial"/>
                <w:bCs/>
                <w:sz w:val="22"/>
              </w:rPr>
              <w:t xml:space="preserve">Nárůst </w:t>
            </w:r>
            <w:r w:rsidR="00214371" w:rsidRPr="00C528C5">
              <w:rPr>
                <w:rFonts w:cs="Arial"/>
                <w:bCs/>
                <w:sz w:val="22"/>
              </w:rPr>
              <w:t xml:space="preserve">počtu </w:t>
            </w:r>
            <w:r w:rsidRPr="00C528C5">
              <w:rPr>
                <w:rFonts w:cs="Arial"/>
                <w:bCs/>
                <w:sz w:val="22"/>
              </w:rPr>
              <w:t>zdrojů využívajících geotermální energii v SZTE, nebo pro kombinovanou výrobu elektřiny a tepla</w:t>
            </w:r>
            <w:r w:rsidR="00C528C5" w:rsidRPr="00C528C5">
              <w:rPr>
                <w:rFonts w:cs="Arial"/>
                <w:bCs/>
                <w:sz w:val="22"/>
              </w:rPr>
              <w:t>.</w:t>
            </w:r>
            <w:r w:rsidR="00214371" w:rsidRPr="00C528C5">
              <w:rPr>
                <w:rFonts w:cs="Arial"/>
                <w:bCs/>
                <w:sz w:val="22"/>
              </w:rPr>
              <w:t xml:space="preserve"> </w:t>
            </w:r>
          </w:p>
          <w:p w14:paraId="59B4D3EE" w14:textId="77777777" w:rsidR="002A2432" w:rsidRDefault="00C528C5" w:rsidP="002E4092">
            <w:pPr>
              <w:pStyle w:val="Odstavecseseznamem"/>
              <w:numPr>
                <w:ilvl w:val="0"/>
                <w:numId w:val="26"/>
              </w:numPr>
              <w:spacing w:after="0"/>
              <w:jc w:val="both"/>
              <w:rPr>
                <w:rFonts w:cs="Arial"/>
                <w:bCs/>
                <w:sz w:val="22"/>
              </w:rPr>
            </w:pPr>
            <w:r w:rsidRPr="00C528C5">
              <w:rPr>
                <w:rFonts w:cs="Arial"/>
                <w:bCs/>
                <w:sz w:val="22"/>
              </w:rPr>
              <w:t>Nárůst počtu</w:t>
            </w:r>
            <w:r w:rsidR="00214371" w:rsidRPr="00C528C5">
              <w:rPr>
                <w:rFonts w:cs="Arial"/>
                <w:bCs/>
                <w:sz w:val="22"/>
              </w:rPr>
              <w:t xml:space="preserve"> zdrojů </w:t>
            </w:r>
            <w:r>
              <w:rPr>
                <w:rFonts w:cs="Arial"/>
                <w:bCs/>
                <w:sz w:val="22"/>
              </w:rPr>
              <w:t xml:space="preserve">pracujících s </w:t>
            </w:r>
            <w:r w:rsidR="00450B82" w:rsidRPr="00C528C5">
              <w:rPr>
                <w:rFonts w:cs="Arial"/>
                <w:bCs/>
                <w:sz w:val="22"/>
              </w:rPr>
              <w:t>akumulaci tepelné energie</w:t>
            </w:r>
            <w:r w:rsidR="00214371" w:rsidRPr="00C528C5">
              <w:rPr>
                <w:rFonts w:cs="Arial"/>
                <w:bCs/>
                <w:sz w:val="22"/>
              </w:rPr>
              <w:t xml:space="preserve"> (tepla/chladu)</w:t>
            </w:r>
            <w:r w:rsidR="00CD1A9A" w:rsidRPr="00C528C5">
              <w:rPr>
                <w:rFonts w:cs="Arial"/>
                <w:bCs/>
                <w:sz w:val="22"/>
              </w:rPr>
              <w:t xml:space="preserve">. </w:t>
            </w:r>
          </w:p>
          <w:p w14:paraId="071EA42B" w14:textId="64BA0C70" w:rsidR="00450B82" w:rsidRPr="003F2C87" w:rsidRDefault="00450B82" w:rsidP="002E4092">
            <w:pPr>
              <w:pStyle w:val="Odstavecseseznamem"/>
              <w:numPr>
                <w:ilvl w:val="0"/>
                <w:numId w:val="26"/>
              </w:numPr>
              <w:spacing w:after="0"/>
              <w:jc w:val="both"/>
              <w:rPr>
                <w:rFonts w:cs="Arial"/>
                <w:bCs/>
                <w:sz w:val="22"/>
              </w:rPr>
            </w:pPr>
            <w:r w:rsidRPr="00A91EE3">
              <w:rPr>
                <w:rFonts w:cs="Arial"/>
                <w:bCs/>
                <w:sz w:val="22"/>
              </w:rPr>
              <w:t>Zvýšení podílu geotermální energie na produkci pocházející z OZE a nárůst zdrojů využívajících geotermální energii v SZTE</w:t>
            </w:r>
            <w:r w:rsidR="005274CF" w:rsidRPr="00A91EE3">
              <w:rPr>
                <w:rFonts w:cs="Arial"/>
                <w:bCs/>
                <w:sz w:val="22"/>
              </w:rPr>
              <w:t xml:space="preserve">, případně projektů věnující se </w:t>
            </w:r>
            <w:r w:rsidRPr="00A91EE3">
              <w:rPr>
                <w:rFonts w:cs="Arial"/>
                <w:bCs/>
                <w:sz w:val="22"/>
              </w:rPr>
              <w:t>akumulac</w:t>
            </w:r>
            <w:r w:rsidR="005274CF" w:rsidRPr="00A91EE3">
              <w:rPr>
                <w:rFonts w:cs="Arial"/>
                <w:bCs/>
                <w:sz w:val="22"/>
              </w:rPr>
              <w:t>i tepelné</w:t>
            </w:r>
            <w:r w:rsidRPr="00A91EE3">
              <w:rPr>
                <w:rFonts w:cs="Arial"/>
                <w:bCs/>
                <w:sz w:val="22"/>
              </w:rPr>
              <w:t xml:space="preserve"> energie</w:t>
            </w:r>
            <w:r w:rsidR="00B76D2B">
              <w:rPr>
                <w:rFonts w:cs="Arial"/>
                <w:bCs/>
                <w:sz w:val="22"/>
              </w:rPr>
              <w:t xml:space="preserve"> (tepla/chladu)</w:t>
            </w:r>
          </w:p>
          <w:p w14:paraId="3D8CC7EF" w14:textId="77777777" w:rsidR="00450B82" w:rsidRPr="00450B82" w:rsidRDefault="00450B82" w:rsidP="00944693">
            <w:pPr>
              <w:spacing w:after="0" w:line="276" w:lineRule="auto"/>
              <w:jc w:val="both"/>
              <w:rPr>
                <w:rFonts w:cs="Arial"/>
                <w:sz w:val="22"/>
              </w:rPr>
            </w:pPr>
          </w:p>
          <w:p w14:paraId="5CDEEC25" w14:textId="77777777" w:rsidR="00450B82" w:rsidRPr="00450B82" w:rsidRDefault="00450B82" w:rsidP="00944693">
            <w:pPr>
              <w:spacing w:after="0" w:line="276" w:lineRule="auto"/>
              <w:jc w:val="both"/>
              <w:rPr>
                <w:rFonts w:cs="Arial"/>
                <w:bCs/>
                <w:sz w:val="22"/>
              </w:rPr>
            </w:pPr>
            <w:r w:rsidRPr="00450B82">
              <w:rPr>
                <w:rFonts w:cs="Arial"/>
                <w:sz w:val="22"/>
              </w:rPr>
              <w:t>Indikátory</w:t>
            </w:r>
            <w:r w:rsidRPr="00450B82">
              <w:rPr>
                <w:rFonts w:cs="Arial"/>
                <w:bCs/>
                <w:sz w:val="22"/>
              </w:rPr>
              <w:t>:</w:t>
            </w:r>
          </w:p>
          <w:p w14:paraId="6F163CDA" w14:textId="49928595" w:rsidR="00450B82" w:rsidRDefault="00450B82" w:rsidP="00944693">
            <w:pPr>
              <w:spacing w:after="0" w:line="276" w:lineRule="auto"/>
              <w:jc w:val="both"/>
              <w:rPr>
                <w:rFonts w:cs="Arial"/>
                <w:bCs/>
                <w:sz w:val="22"/>
              </w:rPr>
            </w:pPr>
            <w:r w:rsidRPr="00450B82">
              <w:rPr>
                <w:rFonts w:cs="Arial"/>
                <w:bCs/>
                <w:sz w:val="22"/>
              </w:rPr>
              <w:t xml:space="preserve">Počet podpořených projektů </w:t>
            </w:r>
            <w:r w:rsidR="003F2C87">
              <w:rPr>
                <w:rFonts w:cs="Arial"/>
                <w:bCs/>
                <w:sz w:val="22"/>
              </w:rPr>
              <w:t xml:space="preserve">využívajících </w:t>
            </w:r>
            <w:r w:rsidRPr="00450B82">
              <w:rPr>
                <w:rFonts w:cs="Arial"/>
                <w:bCs/>
                <w:sz w:val="22"/>
              </w:rPr>
              <w:t>geotermální energi</w:t>
            </w:r>
            <w:r w:rsidR="003F2C87">
              <w:rPr>
                <w:rFonts w:cs="Arial"/>
                <w:bCs/>
                <w:sz w:val="22"/>
              </w:rPr>
              <w:t>i</w:t>
            </w:r>
            <w:r w:rsidRPr="00450B82">
              <w:rPr>
                <w:rFonts w:cs="Arial"/>
                <w:bCs/>
                <w:sz w:val="22"/>
              </w:rPr>
              <w:t xml:space="preserve"> </w:t>
            </w:r>
            <w:r w:rsidR="003F2C87">
              <w:rPr>
                <w:rFonts w:cs="Arial"/>
                <w:bCs/>
                <w:sz w:val="22"/>
              </w:rPr>
              <w:t xml:space="preserve">například </w:t>
            </w:r>
            <w:r w:rsidRPr="00450B82">
              <w:rPr>
                <w:rFonts w:cs="Arial"/>
                <w:bCs/>
                <w:sz w:val="22"/>
              </w:rPr>
              <w:t xml:space="preserve">v rámci SZTE </w:t>
            </w:r>
            <w:r w:rsidR="00172C84">
              <w:rPr>
                <w:rFonts w:cs="Arial"/>
                <w:bCs/>
                <w:sz w:val="22"/>
              </w:rPr>
              <w:t>nebo</w:t>
            </w:r>
            <w:r w:rsidRPr="00450B82">
              <w:rPr>
                <w:rFonts w:cs="Arial"/>
                <w:bCs/>
                <w:sz w:val="22"/>
              </w:rPr>
              <w:t xml:space="preserve"> průmyslových aplikacích. </w:t>
            </w:r>
          </w:p>
          <w:p w14:paraId="7A25A718" w14:textId="5A1E0F42" w:rsidR="003F2C87" w:rsidRPr="00450B82" w:rsidRDefault="003F2C87" w:rsidP="00944693">
            <w:pPr>
              <w:spacing w:after="0" w:line="276" w:lineRule="auto"/>
              <w:jc w:val="both"/>
              <w:rPr>
                <w:rFonts w:cs="Arial"/>
                <w:bCs/>
                <w:sz w:val="22"/>
              </w:rPr>
            </w:pPr>
            <w:r>
              <w:rPr>
                <w:rFonts w:cs="Arial"/>
                <w:bCs/>
                <w:sz w:val="22"/>
              </w:rPr>
              <w:t xml:space="preserve">Počet podpořených projektů, které se věnují </w:t>
            </w:r>
            <w:r w:rsidR="00B073EA">
              <w:rPr>
                <w:rFonts w:cs="Arial"/>
                <w:bCs/>
                <w:sz w:val="22"/>
              </w:rPr>
              <w:t xml:space="preserve">akumulaci tepelné energie. </w:t>
            </w:r>
            <w:r>
              <w:rPr>
                <w:rFonts w:cs="Arial"/>
                <w:bCs/>
                <w:sz w:val="22"/>
              </w:rPr>
              <w:t xml:space="preserve"> </w:t>
            </w:r>
          </w:p>
          <w:p w14:paraId="4329693C" w14:textId="77777777" w:rsidR="00450B82" w:rsidRPr="00450B82" w:rsidRDefault="00450B82" w:rsidP="00944693">
            <w:pPr>
              <w:spacing w:after="0" w:line="276" w:lineRule="auto"/>
              <w:jc w:val="both"/>
              <w:rPr>
                <w:rFonts w:cs="Arial"/>
                <w:sz w:val="22"/>
              </w:rPr>
            </w:pPr>
          </w:p>
          <w:p w14:paraId="26B70E52" w14:textId="6B206FC6" w:rsidR="00450B82" w:rsidRPr="00450B82" w:rsidRDefault="00450B82" w:rsidP="00944693">
            <w:pPr>
              <w:spacing w:after="0"/>
              <w:jc w:val="both"/>
              <w:rPr>
                <w:rFonts w:cs="Arial"/>
                <w:sz w:val="22"/>
              </w:rPr>
            </w:pPr>
            <w:r w:rsidRPr="00450B82">
              <w:rPr>
                <w:rFonts w:cs="Arial"/>
                <w:bCs/>
                <w:sz w:val="22"/>
              </w:rPr>
              <w:t xml:space="preserve">Vytvoření </w:t>
            </w:r>
            <w:r w:rsidR="00B073EA">
              <w:rPr>
                <w:rFonts w:cs="Arial"/>
                <w:bCs/>
                <w:sz w:val="22"/>
              </w:rPr>
              <w:t xml:space="preserve">strategie podpory využívání geotermální energie a </w:t>
            </w:r>
            <w:r w:rsidRPr="00450B82">
              <w:rPr>
                <w:rFonts w:cs="Arial"/>
                <w:bCs/>
                <w:sz w:val="22"/>
              </w:rPr>
              <w:t xml:space="preserve">komplexní databáze </w:t>
            </w:r>
            <w:r w:rsidR="00FD4BFC">
              <w:rPr>
                <w:rFonts w:cs="Arial"/>
                <w:bCs/>
                <w:sz w:val="22"/>
              </w:rPr>
              <w:t>informací</w:t>
            </w:r>
            <w:r w:rsidR="00FD4BFC" w:rsidRPr="00450B82">
              <w:rPr>
                <w:rFonts w:cs="Arial"/>
                <w:bCs/>
                <w:sz w:val="22"/>
              </w:rPr>
              <w:t xml:space="preserve"> </w:t>
            </w:r>
            <w:r w:rsidR="00FD4BFC">
              <w:rPr>
                <w:rFonts w:cs="Arial"/>
                <w:bCs/>
                <w:sz w:val="22"/>
              </w:rPr>
              <w:t xml:space="preserve">a </w:t>
            </w:r>
            <w:r w:rsidRPr="00450B82">
              <w:rPr>
                <w:rFonts w:cs="Arial"/>
                <w:bCs/>
                <w:sz w:val="22"/>
              </w:rPr>
              <w:t xml:space="preserve">podpůrných analytických podkladů </w:t>
            </w:r>
            <w:r w:rsidR="00B073EA">
              <w:rPr>
                <w:rFonts w:cs="Arial"/>
                <w:bCs/>
                <w:sz w:val="22"/>
              </w:rPr>
              <w:t>o geologických podmínkách a vhodných lokalitách pro</w:t>
            </w:r>
            <w:r w:rsidRPr="00450B82">
              <w:rPr>
                <w:rFonts w:cs="Arial"/>
                <w:bCs/>
                <w:sz w:val="22"/>
              </w:rPr>
              <w:t xml:space="preserve"> rozvoj</w:t>
            </w:r>
            <w:r w:rsidR="00B073EA">
              <w:rPr>
                <w:rFonts w:cs="Arial"/>
                <w:bCs/>
                <w:sz w:val="22"/>
              </w:rPr>
              <w:t xml:space="preserve"> projektů založených na</w:t>
            </w:r>
            <w:r w:rsidRPr="00450B82">
              <w:rPr>
                <w:rFonts w:cs="Arial"/>
                <w:bCs/>
                <w:sz w:val="22"/>
              </w:rPr>
              <w:t xml:space="preserve"> geotermální energi</w:t>
            </w:r>
            <w:r w:rsidR="00B073EA">
              <w:rPr>
                <w:rFonts w:cs="Arial"/>
                <w:bCs/>
                <w:sz w:val="22"/>
              </w:rPr>
              <w:t>i</w:t>
            </w:r>
            <w:r w:rsidR="00FD4BFC">
              <w:rPr>
                <w:rFonts w:cs="Arial"/>
                <w:bCs/>
                <w:sz w:val="22"/>
              </w:rPr>
              <w:t>, nebo projektů akumulace tepla/chladu</w:t>
            </w:r>
            <w:r w:rsidRPr="00450B82">
              <w:rPr>
                <w:rFonts w:cs="Arial"/>
                <w:bCs/>
                <w:sz w:val="22"/>
              </w:rPr>
              <w:t xml:space="preserve"> ve výše zmíněných </w:t>
            </w:r>
            <w:r w:rsidR="00B073EA">
              <w:rPr>
                <w:rFonts w:cs="Arial"/>
                <w:bCs/>
                <w:sz w:val="22"/>
              </w:rPr>
              <w:t xml:space="preserve">strukturálně postižených </w:t>
            </w:r>
            <w:r w:rsidRPr="00450B82">
              <w:rPr>
                <w:rFonts w:cs="Arial"/>
                <w:bCs/>
                <w:sz w:val="22"/>
              </w:rPr>
              <w:t>krajích.</w:t>
            </w:r>
          </w:p>
          <w:p w14:paraId="57AD2C5D" w14:textId="77777777" w:rsidR="00450B82" w:rsidRPr="00450B82" w:rsidRDefault="00450B82" w:rsidP="00944693">
            <w:pPr>
              <w:pStyle w:val="Odstavecseseznamem"/>
              <w:spacing w:after="0" w:line="276" w:lineRule="auto"/>
              <w:ind w:left="885"/>
              <w:jc w:val="both"/>
              <w:rPr>
                <w:rFonts w:cs="Arial"/>
                <w:sz w:val="22"/>
              </w:rPr>
            </w:pPr>
          </w:p>
        </w:tc>
      </w:tr>
      <w:tr w:rsidR="00450B82" w:rsidRPr="00E45B66" w14:paraId="6E5B39E6" w14:textId="77777777" w:rsidTr="00944693">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D272A2" w14:textId="77777777" w:rsidR="00450B82" w:rsidRPr="00450B82" w:rsidRDefault="00450B82" w:rsidP="00944693">
            <w:pPr>
              <w:spacing w:after="0" w:line="276" w:lineRule="auto"/>
              <w:rPr>
                <w:rFonts w:cs="Arial"/>
                <w:b/>
                <w:bCs/>
                <w:i/>
                <w:sz w:val="22"/>
              </w:rPr>
            </w:pPr>
            <w:r w:rsidRPr="00450B82">
              <w:rPr>
                <w:rFonts w:cs="Arial"/>
                <w:b/>
                <w:bCs/>
                <w:sz w:val="22"/>
              </w:rPr>
              <w:lastRenderedPageBreak/>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84AFDB" w14:textId="29DF35CF" w:rsidR="00450B82" w:rsidRPr="00450B82" w:rsidRDefault="00450B82" w:rsidP="00944693">
            <w:pPr>
              <w:spacing w:after="0" w:line="276" w:lineRule="auto"/>
              <w:jc w:val="both"/>
              <w:rPr>
                <w:rFonts w:cs="Arial"/>
                <w:b/>
                <w:bCs/>
                <w:sz w:val="22"/>
              </w:rPr>
            </w:pPr>
            <w:r w:rsidRPr="00450B82">
              <w:rPr>
                <w:rFonts w:cs="Arial"/>
                <w:b/>
                <w:bCs/>
                <w:sz w:val="22"/>
              </w:rPr>
              <w:t>Vytvoření vhodných podmínek</w:t>
            </w:r>
            <w:r w:rsidR="00EA44C8">
              <w:rPr>
                <w:rFonts w:cs="Arial"/>
                <w:b/>
                <w:bCs/>
                <w:sz w:val="22"/>
              </w:rPr>
              <w:t xml:space="preserve"> </w:t>
            </w:r>
            <w:r w:rsidR="00EA44C8" w:rsidRPr="00450B82">
              <w:rPr>
                <w:rFonts w:cs="Arial"/>
                <w:b/>
                <w:bCs/>
                <w:sz w:val="22"/>
              </w:rPr>
              <w:t xml:space="preserve">pro rozvoj projektů </w:t>
            </w:r>
            <w:r w:rsidR="00023D35">
              <w:rPr>
                <w:rFonts w:cs="Arial"/>
                <w:b/>
                <w:bCs/>
                <w:sz w:val="22"/>
              </w:rPr>
              <w:t xml:space="preserve">na využití </w:t>
            </w:r>
            <w:r w:rsidR="00EA44C8" w:rsidRPr="00450B82">
              <w:rPr>
                <w:rFonts w:cs="Arial"/>
                <w:b/>
                <w:bCs/>
                <w:sz w:val="22"/>
              </w:rPr>
              <w:t>geotermální energie</w:t>
            </w:r>
            <w:r w:rsidR="00023D35">
              <w:rPr>
                <w:rFonts w:cs="Arial"/>
                <w:b/>
                <w:bCs/>
                <w:sz w:val="22"/>
              </w:rPr>
              <w:t xml:space="preserve"> nebo akumulace tepla/chladu.</w:t>
            </w:r>
          </w:p>
        </w:tc>
      </w:tr>
      <w:tr w:rsidR="00450B82" w:rsidRPr="00E45B66" w14:paraId="11CDC434" w14:textId="77777777" w:rsidTr="00944693">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C9287D" w14:textId="77777777" w:rsidR="00450B82" w:rsidRPr="00450B82" w:rsidRDefault="00450B82" w:rsidP="00944693">
            <w:pPr>
              <w:spacing w:after="0" w:line="276" w:lineRule="auto"/>
              <w:rPr>
                <w:rFonts w:cs="Arial"/>
                <w:b/>
                <w:bCs/>
                <w:sz w:val="22"/>
              </w:rPr>
            </w:pPr>
            <w:bookmarkStart w:id="73" w:name="_Hlk173405766"/>
            <w:r w:rsidRPr="00450B82">
              <w:rPr>
                <w:rFonts w:cs="Arial"/>
                <w:b/>
                <w:bCs/>
                <w:sz w:val="22"/>
              </w:rPr>
              <w:t>Zdůvodnění a popis programu</w:t>
            </w:r>
          </w:p>
          <w:p w14:paraId="0C2307AC" w14:textId="77777777" w:rsidR="00450B82" w:rsidRPr="00450B82" w:rsidRDefault="00450B82" w:rsidP="00944693">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E3B7F5" w14:textId="77777777" w:rsidR="00FE62E1" w:rsidRPr="001D0AC9" w:rsidRDefault="00450B82" w:rsidP="00911361">
            <w:pPr>
              <w:spacing w:line="256" w:lineRule="auto"/>
              <w:jc w:val="both"/>
              <w:rPr>
                <w:rFonts w:cs="Arial"/>
                <w:bCs/>
                <w:color w:val="000000" w:themeColor="text1"/>
                <w:sz w:val="22"/>
              </w:rPr>
            </w:pPr>
            <w:r w:rsidRPr="00450B82">
              <w:rPr>
                <w:rFonts w:cs="Arial"/>
                <w:bCs/>
                <w:color w:val="000000" w:themeColor="text1"/>
                <w:sz w:val="22"/>
              </w:rPr>
              <w:t xml:space="preserve">Opatření se v rámci úsilí o dekarbonizaci a zvýšení energetické bezpečnosti zaměřuje na zlepšení podmínek pro využívání potenciálu geotermální energie, odstraňování rizik a dalších technických a administrativních bariér a </w:t>
            </w:r>
            <w:r w:rsidR="00FE62E1">
              <w:rPr>
                <w:rFonts w:cs="Arial"/>
                <w:bCs/>
                <w:color w:val="000000" w:themeColor="text1"/>
                <w:sz w:val="22"/>
              </w:rPr>
              <w:t xml:space="preserve">na </w:t>
            </w:r>
            <w:r w:rsidRPr="00450B82">
              <w:rPr>
                <w:rFonts w:cs="Arial"/>
                <w:bCs/>
                <w:color w:val="000000" w:themeColor="text1"/>
                <w:sz w:val="22"/>
              </w:rPr>
              <w:t xml:space="preserve">rozvoj pilotních </w:t>
            </w:r>
            <w:r w:rsidRPr="001D0AC9">
              <w:rPr>
                <w:rFonts w:cs="Arial"/>
                <w:bCs/>
                <w:color w:val="000000" w:themeColor="text1"/>
                <w:sz w:val="22"/>
              </w:rPr>
              <w:t xml:space="preserve">projektů. </w:t>
            </w:r>
          </w:p>
          <w:p w14:paraId="36EA172B" w14:textId="68381B80" w:rsidR="00450B82" w:rsidRPr="001D0AC9" w:rsidRDefault="00450B82" w:rsidP="00911361">
            <w:pPr>
              <w:spacing w:line="256" w:lineRule="auto"/>
              <w:jc w:val="both"/>
              <w:rPr>
                <w:rFonts w:cs="Arial"/>
                <w:bCs/>
                <w:color w:val="000000" w:themeColor="text1"/>
                <w:sz w:val="22"/>
              </w:rPr>
            </w:pPr>
            <w:r w:rsidRPr="001D0AC9">
              <w:rPr>
                <w:rFonts w:cs="Arial"/>
                <w:bCs/>
                <w:color w:val="000000" w:themeColor="text1"/>
                <w:sz w:val="22"/>
              </w:rPr>
              <w:t>Projekty</w:t>
            </w:r>
            <w:r w:rsidR="00644204" w:rsidRPr="001D0AC9">
              <w:rPr>
                <w:rFonts w:cs="Arial"/>
                <w:bCs/>
                <w:color w:val="000000" w:themeColor="text1"/>
                <w:sz w:val="22"/>
              </w:rPr>
              <w:t xml:space="preserve"> umístěné ve vhodných lokalitách</w:t>
            </w:r>
            <w:r w:rsidRPr="001D0AC9">
              <w:rPr>
                <w:rFonts w:cs="Arial"/>
                <w:bCs/>
                <w:color w:val="000000" w:themeColor="text1"/>
                <w:sz w:val="22"/>
              </w:rPr>
              <w:t xml:space="preserve">, pro něž je možné využít tento druh obnovitelné energie, vyžadují podporu zejména v prvotní fázi přípravy, kdy dochází k vyhodnocení geologických a dalších technických podmínek, jež jsou odborně, finančně i časově náročné a představují významnou bariéru pro investory, kteří zvažují využití geotermálních zdrojů. Absence dostatečně podrobných a komplexních informací o geologických, geofyzikálních a geotermických podmínkách a omezeních (např. technická a </w:t>
            </w:r>
            <w:r w:rsidRPr="001D0AC9">
              <w:rPr>
                <w:rFonts w:cs="Arial"/>
                <w:bCs/>
                <w:color w:val="000000" w:themeColor="text1"/>
                <w:sz w:val="22"/>
              </w:rPr>
              <w:lastRenderedPageBreak/>
              <w:t xml:space="preserve">legislativní omezení, přírodní rizika apod.) v jednotlivých lokalitách </w:t>
            </w:r>
            <w:proofErr w:type="gramStart"/>
            <w:r w:rsidRPr="001D0AC9">
              <w:rPr>
                <w:rFonts w:cs="Arial"/>
                <w:bCs/>
                <w:color w:val="000000" w:themeColor="text1"/>
                <w:sz w:val="22"/>
              </w:rPr>
              <w:t>patří</w:t>
            </w:r>
            <w:proofErr w:type="gramEnd"/>
            <w:r w:rsidRPr="001D0AC9">
              <w:rPr>
                <w:rFonts w:cs="Arial"/>
                <w:bCs/>
                <w:color w:val="000000" w:themeColor="text1"/>
                <w:sz w:val="22"/>
              </w:rPr>
              <w:t xml:space="preserve"> mezi největší bariéry využití geotermální energie v ČR, jakožto i ve strukturálně </w:t>
            </w:r>
            <w:r w:rsidR="00FE62E1" w:rsidRPr="001D0AC9">
              <w:rPr>
                <w:rFonts w:cs="Arial"/>
                <w:bCs/>
                <w:color w:val="000000" w:themeColor="text1"/>
                <w:sz w:val="22"/>
              </w:rPr>
              <w:t xml:space="preserve">postižených </w:t>
            </w:r>
            <w:r w:rsidRPr="001D0AC9">
              <w:rPr>
                <w:rFonts w:cs="Arial"/>
                <w:bCs/>
                <w:color w:val="000000" w:themeColor="text1"/>
                <w:sz w:val="22"/>
              </w:rPr>
              <w:t xml:space="preserve">krajích. </w:t>
            </w:r>
          </w:p>
          <w:p w14:paraId="4D87A39D" w14:textId="2E513921" w:rsidR="00450B82" w:rsidRPr="00450B82" w:rsidRDefault="00450B82" w:rsidP="00911361">
            <w:pPr>
              <w:spacing w:line="256" w:lineRule="auto"/>
              <w:jc w:val="both"/>
              <w:rPr>
                <w:rFonts w:cs="Arial"/>
                <w:bCs/>
                <w:color w:val="000000" w:themeColor="text1"/>
                <w:sz w:val="22"/>
              </w:rPr>
            </w:pPr>
            <w:r w:rsidRPr="001D0AC9">
              <w:rPr>
                <w:rFonts w:cs="Arial"/>
                <w:bCs/>
                <w:color w:val="000000" w:themeColor="text1"/>
                <w:sz w:val="22"/>
              </w:rPr>
              <w:t>Vedle dílčích legislativních úprav by proto většímu využívání geotermální energie pomohlo detailní mapování a vyhodnoc</w:t>
            </w:r>
            <w:r w:rsidR="00FE62E1" w:rsidRPr="001D0AC9">
              <w:rPr>
                <w:rFonts w:cs="Arial"/>
                <w:bCs/>
                <w:color w:val="000000" w:themeColor="text1"/>
                <w:sz w:val="22"/>
              </w:rPr>
              <w:t>ení</w:t>
            </w:r>
            <w:r w:rsidRPr="001D0AC9">
              <w:rPr>
                <w:rFonts w:cs="Arial"/>
                <w:bCs/>
                <w:color w:val="000000" w:themeColor="text1"/>
                <w:sz w:val="22"/>
              </w:rPr>
              <w:t xml:space="preserve"> geologických podmínek a vytipování nejvhodnějších lokalit pro realizaci konkrétních projektů</w:t>
            </w:r>
            <w:r w:rsidR="00023D35" w:rsidRPr="001D0AC9">
              <w:rPr>
                <w:rFonts w:cs="Arial"/>
                <w:bCs/>
                <w:color w:val="000000" w:themeColor="text1"/>
                <w:sz w:val="22"/>
              </w:rPr>
              <w:t xml:space="preserve"> (z hlediska potenciálu využití geotermální energie a technické proveditelnosti)</w:t>
            </w:r>
            <w:r w:rsidRPr="001D0AC9">
              <w:rPr>
                <w:rFonts w:cs="Arial"/>
                <w:bCs/>
                <w:color w:val="000000" w:themeColor="text1"/>
                <w:sz w:val="22"/>
              </w:rPr>
              <w:t>. Komplexní analýzu podmínek s využitím povrchových metod a průzkumných (jádrových) a ověřovacích vrtů, lze realizovat buď v rámci veřejného výzkumného projektu ve vybraných pilotních lokalitách s největším potenciálem, nebo v rámci komerčního</w:t>
            </w:r>
            <w:r w:rsidRPr="00450B82">
              <w:rPr>
                <w:rFonts w:cs="Arial"/>
                <w:bCs/>
                <w:color w:val="000000" w:themeColor="text1"/>
                <w:sz w:val="22"/>
              </w:rPr>
              <w:t xml:space="preserve"> projektu vzešlého z veřejné soutěže, jenž může být za předem určených podmínek zjišťování potenciálu geotermální energie podpořen z veřejných zdrojů. Výsledky zjištěné v rámci výše popsaného výzkumu/průzkumu by pak byly veřejně dostupné a využitelné investory, orgány státní správy, samosprávami či akademickými institucemi a dalšími relevantními aktéry. </w:t>
            </w:r>
          </w:p>
          <w:p w14:paraId="679C9374" w14:textId="77777777" w:rsidR="00450B82" w:rsidRPr="00450B82" w:rsidRDefault="00450B82" w:rsidP="00911361">
            <w:pPr>
              <w:spacing w:line="256" w:lineRule="auto"/>
              <w:jc w:val="both"/>
              <w:rPr>
                <w:rFonts w:cs="Arial"/>
                <w:bCs/>
                <w:color w:val="000000" w:themeColor="text1"/>
                <w:sz w:val="22"/>
              </w:rPr>
            </w:pPr>
            <w:r w:rsidRPr="00450B82">
              <w:rPr>
                <w:rFonts w:cs="Arial"/>
                <w:bCs/>
                <w:color w:val="000000" w:themeColor="text1"/>
                <w:sz w:val="22"/>
              </w:rPr>
              <w:t xml:space="preserve">Finančně podpořen by měl být i individuální ověřovací průzkum předcházející vlastní realizaci komerčního/pilotního projektu na využití geotermální energie, nebo ukládání tepelné energie (například v rámci dotační výzvy a s podmínkou, že výsledky takového průzkumu budou časem dostupné veřejnosti a státu, a závazkem, že budou-li podmínky pro využití geotermální energie příhodné, bude muset investor na průzkum navázat rozvojem příslušného projektu, jinak bude muset vrátit  veřejné prostředky vynaložené na průzkum). </w:t>
            </w:r>
          </w:p>
          <w:p w14:paraId="6FA8E1CF" w14:textId="77777777" w:rsidR="00450B82" w:rsidRDefault="00450B82" w:rsidP="00911361">
            <w:pPr>
              <w:spacing w:after="0" w:line="276" w:lineRule="auto"/>
              <w:jc w:val="both"/>
              <w:rPr>
                <w:rFonts w:cs="Arial"/>
                <w:bCs/>
                <w:color w:val="000000" w:themeColor="text1"/>
                <w:sz w:val="22"/>
              </w:rPr>
            </w:pPr>
            <w:r w:rsidRPr="00450B82">
              <w:rPr>
                <w:rFonts w:cs="Arial"/>
                <w:bCs/>
                <w:color w:val="000000" w:themeColor="text1"/>
                <w:sz w:val="22"/>
              </w:rPr>
              <w:t xml:space="preserve">Geotermální energie představuje významný obnovitelný zdroj pro dekarbonizaci teplárenství v České republice a na základě usnesení Evropského parlamentu z 18.1. 2023 mají členské státy připravit podmínky pro její využití zejména v tzv. uhelných regionech.  Její hlavní předností je dostupnost prakticky kdekoli. Je také nezávislá na klimatických podmínkách či střídání denní a noční doby, zabírá málo prostoru a produkuje při své výrobě naprosté minimum škodlivých emisí. Je rovněž poměrně dobře řiditelná a její dodávku lze regulovat dle potřeby.  Jedná se tedy o stabilní a místně dostupný zdroj energie, který májí ČR a strukturálně </w:t>
            </w:r>
            <w:r w:rsidR="00FE62E1">
              <w:rPr>
                <w:rFonts w:cs="Arial"/>
                <w:bCs/>
                <w:color w:val="000000" w:themeColor="text1"/>
                <w:sz w:val="22"/>
              </w:rPr>
              <w:t xml:space="preserve">postižené </w:t>
            </w:r>
            <w:r w:rsidRPr="00450B82">
              <w:rPr>
                <w:rFonts w:cs="Arial"/>
                <w:bCs/>
                <w:color w:val="000000" w:themeColor="text1"/>
                <w:sz w:val="22"/>
              </w:rPr>
              <w:t>kraje k dispozici.</w:t>
            </w:r>
          </w:p>
          <w:p w14:paraId="371B6E61" w14:textId="77777777" w:rsidR="00FE62E1" w:rsidRDefault="00FE62E1" w:rsidP="00911361">
            <w:pPr>
              <w:spacing w:after="0" w:line="276" w:lineRule="auto"/>
              <w:jc w:val="both"/>
              <w:rPr>
                <w:rFonts w:cs="Arial"/>
                <w:bCs/>
                <w:color w:val="000000" w:themeColor="text1"/>
                <w:sz w:val="22"/>
              </w:rPr>
            </w:pPr>
          </w:p>
          <w:p w14:paraId="631D6D4A" w14:textId="77777777" w:rsidR="00FE62E1" w:rsidRDefault="00FE62E1" w:rsidP="00911361">
            <w:pPr>
              <w:spacing w:after="0" w:line="276" w:lineRule="auto"/>
              <w:jc w:val="both"/>
              <w:rPr>
                <w:rFonts w:cs="Arial"/>
                <w:bCs/>
                <w:color w:val="000000" w:themeColor="text1"/>
                <w:sz w:val="22"/>
              </w:rPr>
            </w:pPr>
            <w:r>
              <w:rPr>
                <w:rFonts w:cs="Arial"/>
                <w:bCs/>
                <w:color w:val="000000" w:themeColor="text1"/>
                <w:sz w:val="22"/>
              </w:rPr>
              <w:t xml:space="preserve">Vedle podpory </w:t>
            </w:r>
            <w:r w:rsidR="00683BAA">
              <w:rPr>
                <w:rFonts w:cs="Arial"/>
                <w:bCs/>
                <w:color w:val="000000" w:themeColor="text1"/>
                <w:sz w:val="22"/>
              </w:rPr>
              <w:t xml:space="preserve">většího </w:t>
            </w:r>
            <w:r>
              <w:rPr>
                <w:rFonts w:cs="Arial"/>
                <w:bCs/>
                <w:color w:val="000000" w:themeColor="text1"/>
                <w:sz w:val="22"/>
              </w:rPr>
              <w:t>využívání</w:t>
            </w:r>
            <w:r w:rsidR="00683BAA">
              <w:rPr>
                <w:rFonts w:cs="Arial"/>
                <w:bCs/>
                <w:color w:val="000000" w:themeColor="text1"/>
                <w:sz w:val="22"/>
              </w:rPr>
              <w:t xml:space="preserve"> geotermální energie je vhodné věnovat pozornost i opatřením a novým technologiím na ukládání tepla/chladu, které mohou být dobrým doplňkem opatření na efektivnější využívání energií.</w:t>
            </w:r>
          </w:p>
          <w:p w14:paraId="3C85C5DF" w14:textId="47672303" w:rsidR="001D0AC9" w:rsidRDefault="001D0AC9" w:rsidP="00911361">
            <w:pPr>
              <w:spacing w:after="0" w:line="276" w:lineRule="auto"/>
              <w:jc w:val="both"/>
              <w:rPr>
                <w:rFonts w:cs="Arial"/>
                <w:bCs/>
                <w:color w:val="000000" w:themeColor="text1"/>
                <w:sz w:val="22"/>
              </w:rPr>
            </w:pPr>
          </w:p>
          <w:p w14:paraId="69299711" w14:textId="47E8D6A6" w:rsidR="00AE0C42" w:rsidRDefault="00E36FCD" w:rsidP="00911361">
            <w:pPr>
              <w:spacing w:after="0" w:line="276" w:lineRule="auto"/>
              <w:jc w:val="both"/>
              <w:rPr>
                <w:rFonts w:cs="Arial"/>
                <w:bCs/>
                <w:color w:val="000000" w:themeColor="text1"/>
                <w:sz w:val="22"/>
              </w:rPr>
            </w:pPr>
            <w:r>
              <w:rPr>
                <w:rFonts w:cs="Arial"/>
                <w:bCs/>
                <w:color w:val="000000" w:themeColor="text1"/>
                <w:sz w:val="22"/>
              </w:rPr>
              <w:t xml:space="preserve">Vedle dílčích průběžných úkolů </w:t>
            </w:r>
            <w:r w:rsidRPr="00505F0F">
              <w:rPr>
                <w:rFonts w:cs="Arial"/>
                <w:bCs/>
                <w:color w:val="000000" w:themeColor="text1"/>
                <w:sz w:val="22"/>
              </w:rPr>
              <w:t xml:space="preserve">bude </w:t>
            </w:r>
            <w:r w:rsidR="001D0AC9" w:rsidRPr="00505F0F">
              <w:rPr>
                <w:rFonts w:cs="Arial"/>
                <w:bCs/>
                <w:color w:val="000000" w:themeColor="text1"/>
                <w:sz w:val="22"/>
              </w:rPr>
              <w:t>opatření realizováno ve dvou</w:t>
            </w:r>
            <w:r w:rsidR="00AE0C42" w:rsidRPr="00505F0F">
              <w:rPr>
                <w:rFonts w:cs="Arial"/>
                <w:bCs/>
                <w:color w:val="000000" w:themeColor="text1"/>
                <w:sz w:val="22"/>
              </w:rPr>
              <w:t xml:space="preserve"> </w:t>
            </w:r>
            <w:r w:rsidR="001D0AC9" w:rsidRPr="00505F0F">
              <w:rPr>
                <w:rFonts w:cs="Arial"/>
                <w:bCs/>
                <w:color w:val="000000" w:themeColor="text1"/>
                <w:sz w:val="22"/>
              </w:rPr>
              <w:t xml:space="preserve">etapách. Nejprve bude </w:t>
            </w:r>
            <w:r w:rsidRPr="00505F0F">
              <w:rPr>
                <w:rFonts w:cs="Arial"/>
                <w:bCs/>
                <w:color w:val="000000" w:themeColor="text1"/>
                <w:sz w:val="22"/>
              </w:rPr>
              <w:t>se zvláštním</w:t>
            </w:r>
            <w:r>
              <w:rPr>
                <w:rFonts w:cs="Arial"/>
                <w:bCs/>
                <w:color w:val="000000" w:themeColor="text1"/>
                <w:sz w:val="22"/>
              </w:rPr>
              <w:t xml:space="preserve"> zřetelem na strukturálně postižené kraje </w:t>
            </w:r>
            <w:r w:rsidR="001D0AC9">
              <w:rPr>
                <w:rFonts w:cs="Arial"/>
                <w:bCs/>
                <w:color w:val="000000" w:themeColor="text1"/>
                <w:sz w:val="22"/>
              </w:rPr>
              <w:t xml:space="preserve">provedena podrobná analýza geologických </w:t>
            </w:r>
            <w:r w:rsidR="001D0AC9">
              <w:rPr>
                <w:rFonts w:cs="Arial"/>
                <w:bCs/>
                <w:color w:val="000000" w:themeColor="text1"/>
                <w:sz w:val="22"/>
              </w:rPr>
              <w:lastRenderedPageBreak/>
              <w:t>podmínek</w:t>
            </w:r>
            <w:r w:rsidR="00AE0C42">
              <w:rPr>
                <w:rFonts w:cs="Arial"/>
                <w:bCs/>
                <w:color w:val="000000" w:themeColor="text1"/>
                <w:sz w:val="22"/>
              </w:rPr>
              <w:t>, potenciálu geotermální energie a</w:t>
            </w:r>
            <w:r w:rsidR="001D0AC9">
              <w:rPr>
                <w:rFonts w:cs="Arial"/>
                <w:bCs/>
                <w:color w:val="000000" w:themeColor="text1"/>
                <w:sz w:val="22"/>
              </w:rPr>
              <w:t xml:space="preserve"> technické proveditelnosti </w:t>
            </w:r>
            <w:r>
              <w:rPr>
                <w:rFonts w:cs="Arial"/>
                <w:bCs/>
                <w:color w:val="000000" w:themeColor="text1"/>
                <w:sz w:val="22"/>
              </w:rPr>
              <w:t xml:space="preserve">případných projektů </w:t>
            </w:r>
            <w:r w:rsidR="00A5778D">
              <w:rPr>
                <w:rFonts w:cs="Arial"/>
                <w:bCs/>
                <w:color w:val="000000" w:themeColor="text1"/>
                <w:sz w:val="22"/>
              </w:rPr>
              <w:t xml:space="preserve">a </w:t>
            </w:r>
            <w:r w:rsidR="00AE0C42">
              <w:rPr>
                <w:rFonts w:cs="Arial"/>
                <w:bCs/>
                <w:color w:val="000000" w:themeColor="text1"/>
                <w:sz w:val="22"/>
              </w:rPr>
              <w:t>vytipují</w:t>
            </w:r>
            <w:r w:rsidR="00A5778D">
              <w:rPr>
                <w:rFonts w:cs="Arial"/>
                <w:bCs/>
                <w:color w:val="000000" w:themeColor="text1"/>
                <w:sz w:val="22"/>
              </w:rPr>
              <w:t xml:space="preserve"> se</w:t>
            </w:r>
            <w:r w:rsidR="00AE0C42">
              <w:rPr>
                <w:rFonts w:cs="Arial"/>
                <w:bCs/>
                <w:color w:val="000000" w:themeColor="text1"/>
                <w:sz w:val="22"/>
              </w:rPr>
              <w:t xml:space="preserve"> nejvhodnější lokality</w:t>
            </w:r>
            <w:r w:rsidR="00A5778D">
              <w:rPr>
                <w:rFonts w:cs="Arial"/>
                <w:bCs/>
                <w:color w:val="000000" w:themeColor="text1"/>
                <w:sz w:val="22"/>
              </w:rPr>
              <w:t xml:space="preserve"> pro </w:t>
            </w:r>
            <w:r w:rsidR="001E5665">
              <w:rPr>
                <w:rFonts w:cs="Arial"/>
                <w:bCs/>
                <w:color w:val="000000" w:themeColor="text1"/>
                <w:sz w:val="22"/>
              </w:rPr>
              <w:t xml:space="preserve">jejich </w:t>
            </w:r>
            <w:r w:rsidR="00A5778D">
              <w:rPr>
                <w:rFonts w:cs="Arial"/>
                <w:bCs/>
                <w:color w:val="000000" w:themeColor="text1"/>
                <w:sz w:val="22"/>
              </w:rPr>
              <w:t>realizaci</w:t>
            </w:r>
            <w:r w:rsidR="00AE0C42">
              <w:rPr>
                <w:rFonts w:cs="Arial"/>
                <w:bCs/>
                <w:color w:val="000000" w:themeColor="text1"/>
                <w:sz w:val="22"/>
              </w:rPr>
              <w:t xml:space="preserve">. Začátek této etapy se </w:t>
            </w:r>
            <w:r w:rsidR="00A5778D">
              <w:rPr>
                <w:rFonts w:cs="Arial"/>
                <w:bCs/>
                <w:color w:val="000000" w:themeColor="text1"/>
                <w:sz w:val="22"/>
              </w:rPr>
              <w:t>odhaduje</w:t>
            </w:r>
            <w:r w:rsidR="00AE0C42">
              <w:rPr>
                <w:rFonts w:cs="Arial"/>
                <w:bCs/>
                <w:color w:val="000000" w:themeColor="text1"/>
                <w:sz w:val="22"/>
              </w:rPr>
              <w:t xml:space="preserve"> v roce 2025.  </w:t>
            </w:r>
          </w:p>
          <w:p w14:paraId="7CD1A5AC" w14:textId="275C58DF" w:rsidR="001D0AC9" w:rsidRPr="00450B82" w:rsidRDefault="00AE0C42" w:rsidP="00911361">
            <w:pPr>
              <w:spacing w:after="0" w:line="276" w:lineRule="auto"/>
              <w:jc w:val="both"/>
              <w:rPr>
                <w:rFonts w:cs="Arial"/>
                <w:bCs/>
                <w:color w:val="000000" w:themeColor="text1"/>
                <w:sz w:val="22"/>
              </w:rPr>
            </w:pPr>
            <w:r>
              <w:rPr>
                <w:rFonts w:cs="Arial"/>
                <w:bCs/>
                <w:color w:val="000000" w:themeColor="text1"/>
                <w:sz w:val="22"/>
              </w:rPr>
              <w:t xml:space="preserve">Na tuto průzkumnou etapu by </w:t>
            </w:r>
            <w:r w:rsidR="00A5778D">
              <w:rPr>
                <w:rFonts w:cs="Arial"/>
                <w:bCs/>
                <w:color w:val="000000" w:themeColor="text1"/>
                <w:sz w:val="22"/>
              </w:rPr>
              <w:t>později a s ohledem na dostupn</w:t>
            </w:r>
            <w:r w:rsidR="00D15CD4">
              <w:rPr>
                <w:rFonts w:cs="Arial"/>
                <w:bCs/>
                <w:color w:val="000000" w:themeColor="text1"/>
                <w:sz w:val="22"/>
              </w:rPr>
              <w:t>ost</w:t>
            </w:r>
            <w:r w:rsidR="00A5778D">
              <w:rPr>
                <w:rFonts w:cs="Arial"/>
                <w:bCs/>
                <w:color w:val="000000" w:themeColor="text1"/>
                <w:sz w:val="22"/>
              </w:rPr>
              <w:t xml:space="preserve"> zdroj</w:t>
            </w:r>
            <w:r w:rsidR="00D15CD4">
              <w:rPr>
                <w:rFonts w:cs="Arial"/>
                <w:bCs/>
                <w:color w:val="000000" w:themeColor="text1"/>
                <w:sz w:val="22"/>
              </w:rPr>
              <w:t>ů</w:t>
            </w:r>
            <w:r w:rsidR="00505F0F">
              <w:rPr>
                <w:rFonts w:cs="Arial"/>
                <w:bCs/>
                <w:color w:val="000000" w:themeColor="text1"/>
                <w:sz w:val="22"/>
              </w:rPr>
              <w:t>,</w:t>
            </w:r>
            <w:r w:rsidR="00A5778D">
              <w:rPr>
                <w:rFonts w:cs="Arial"/>
                <w:bCs/>
                <w:color w:val="000000" w:themeColor="text1"/>
                <w:sz w:val="22"/>
              </w:rPr>
              <w:t xml:space="preserve"> zejména v Modernizačním fond</w:t>
            </w:r>
            <w:r w:rsidR="00505F0F">
              <w:rPr>
                <w:rFonts w:cs="Arial"/>
                <w:bCs/>
                <w:color w:val="000000" w:themeColor="text1"/>
                <w:sz w:val="22"/>
              </w:rPr>
              <w:t>u,</w:t>
            </w:r>
            <w:r w:rsidR="00A5778D">
              <w:rPr>
                <w:rFonts w:cs="Arial"/>
                <w:bCs/>
                <w:color w:val="000000" w:themeColor="text1"/>
                <w:sz w:val="22"/>
              </w:rPr>
              <w:t xml:space="preserve"> </w:t>
            </w:r>
            <w:r>
              <w:rPr>
                <w:rFonts w:cs="Arial"/>
                <w:bCs/>
                <w:color w:val="000000" w:themeColor="text1"/>
                <w:sz w:val="22"/>
              </w:rPr>
              <w:t>měla navazovat finanční podpora pro pilotní/</w:t>
            </w:r>
            <w:r w:rsidRPr="00AE0C42">
              <w:rPr>
                <w:rFonts w:cs="Arial"/>
                <w:bCs/>
                <w:color w:val="000000" w:themeColor="text1"/>
                <w:sz w:val="22"/>
              </w:rPr>
              <w:t>demonstrační</w:t>
            </w:r>
            <w:r>
              <w:rPr>
                <w:rFonts w:cs="Arial"/>
                <w:bCs/>
                <w:color w:val="000000" w:themeColor="text1"/>
                <w:sz w:val="22"/>
              </w:rPr>
              <w:t xml:space="preserve"> a </w:t>
            </w:r>
            <w:r w:rsidRPr="00AE0C42">
              <w:rPr>
                <w:rFonts w:cs="Arial"/>
                <w:bCs/>
                <w:color w:val="000000" w:themeColor="text1"/>
                <w:sz w:val="22"/>
              </w:rPr>
              <w:t>plně funkční projekty</w:t>
            </w:r>
            <w:r w:rsidR="00A5778D">
              <w:rPr>
                <w:rFonts w:cs="Arial"/>
                <w:bCs/>
                <w:color w:val="000000" w:themeColor="text1"/>
                <w:sz w:val="22"/>
              </w:rPr>
              <w:t>.</w:t>
            </w:r>
            <w:r w:rsidR="001E5665">
              <w:rPr>
                <w:rFonts w:cs="Arial"/>
                <w:bCs/>
                <w:color w:val="000000" w:themeColor="text1"/>
                <w:sz w:val="22"/>
              </w:rPr>
              <w:t xml:space="preserve"> </w:t>
            </w:r>
          </w:p>
        </w:tc>
      </w:tr>
      <w:bookmarkEnd w:id="73"/>
      <w:tr w:rsidR="00450B82" w:rsidRPr="00E45B66" w14:paraId="3D4B970E" w14:textId="77777777" w:rsidTr="00944693">
        <w:trPr>
          <w:trHeight w:val="4668"/>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ECB72A" w14:textId="77777777" w:rsidR="00450B82" w:rsidRPr="00450B82" w:rsidRDefault="00450B82" w:rsidP="00944693">
            <w:pPr>
              <w:spacing w:after="0" w:line="276" w:lineRule="auto"/>
              <w:rPr>
                <w:rFonts w:cs="Arial"/>
                <w:b/>
                <w:bCs/>
                <w:sz w:val="22"/>
              </w:rPr>
            </w:pPr>
            <w:r w:rsidRPr="00450B82">
              <w:rPr>
                <w:rFonts w:cs="Arial"/>
                <w:b/>
                <w:bCs/>
                <w:sz w:val="22"/>
              </w:rPr>
              <w:lastRenderedPageBreak/>
              <w:t>Cíl programu/opatření</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3B898C" w14:textId="1BE87F75" w:rsidR="00450B82" w:rsidRPr="00450B82" w:rsidRDefault="00450B82" w:rsidP="00944693">
            <w:pPr>
              <w:spacing w:line="256" w:lineRule="auto"/>
              <w:jc w:val="both"/>
              <w:rPr>
                <w:rFonts w:cs="Arial"/>
                <w:iCs/>
                <w:sz w:val="22"/>
              </w:rPr>
            </w:pPr>
            <w:r w:rsidRPr="00450B82">
              <w:rPr>
                <w:rFonts w:cs="Arial"/>
                <w:iCs/>
                <w:sz w:val="22"/>
              </w:rPr>
              <w:t>Cílem opatření je podpořit rozvoj projektů</w:t>
            </w:r>
            <w:r w:rsidR="00A50396">
              <w:rPr>
                <w:rFonts w:cs="Arial"/>
                <w:iCs/>
                <w:sz w:val="22"/>
              </w:rPr>
              <w:t>, kde hlavním zdrojem energie</w:t>
            </w:r>
            <w:r w:rsidRPr="00450B82">
              <w:rPr>
                <w:rFonts w:cs="Arial"/>
                <w:iCs/>
                <w:sz w:val="22"/>
              </w:rPr>
              <w:t xml:space="preserve"> </w:t>
            </w:r>
            <w:r w:rsidR="00A50396">
              <w:rPr>
                <w:rFonts w:cs="Arial"/>
                <w:iCs/>
                <w:sz w:val="22"/>
              </w:rPr>
              <w:t xml:space="preserve">je </w:t>
            </w:r>
            <w:r w:rsidRPr="00450B82">
              <w:rPr>
                <w:rFonts w:cs="Arial"/>
                <w:iCs/>
                <w:sz w:val="22"/>
              </w:rPr>
              <w:t>geotermální energi</w:t>
            </w:r>
            <w:r w:rsidR="00A50396">
              <w:rPr>
                <w:rFonts w:cs="Arial"/>
                <w:iCs/>
                <w:sz w:val="22"/>
              </w:rPr>
              <w:t xml:space="preserve">e, případně </w:t>
            </w:r>
            <w:r w:rsidR="00C84174">
              <w:rPr>
                <w:rFonts w:cs="Arial"/>
                <w:iCs/>
                <w:sz w:val="22"/>
              </w:rPr>
              <w:t>řešení na bázi akumulace tepla/chladu</w:t>
            </w:r>
            <w:r w:rsidR="00A50396">
              <w:rPr>
                <w:rFonts w:cs="Arial"/>
                <w:iCs/>
                <w:sz w:val="22"/>
              </w:rPr>
              <w:t>.</w:t>
            </w:r>
            <w:r w:rsidRPr="00450B82">
              <w:rPr>
                <w:rFonts w:cs="Arial"/>
                <w:iCs/>
                <w:sz w:val="22"/>
              </w:rPr>
              <w:t xml:space="preserve"> </w:t>
            </w:r>
            <w:r w:rsidR="00A50396">
              <w:rPr>
                <w:rFonts w:cs="Arial"/>
                <w:iCs/>
                <w:sz w:val="22"/>
              </w:rPr>
              <w:t>Opatření</w:t>
            </w:r>
            <w:r w:rsidR="00C84174">
              <w:rPr>
                <w:rFonts w:cs="Arial"/>
                <w:iCs/>
                <w:sz w:val="22"/>
              </w:rPr>
              <w:t xml:space="preserve"> usiluje o</w:t>
            </w:r>
            <w:r w:rsidRPr="00450B82">
              <w:rPr>
                <w:rFonts w:cs="Arial"/>
                <w:iCs/>
                <w:sz w:val="22"/>
              </w:rPr>
              <w:t xml:space="preserve"> zvýš</w:t>
            </w:r>
            <w:r w:rsidR="00C84174">
              <w:rPr>
                <w:rFonts w:cs="Arial"/>
                <w:iCs/>
                <w:sz w:val="22"/>
              </w:rPr>
              <w:t>ení</w:t>
            </w:r>
            <w:r w:rsidRPr="00450B82">
              <w:rPr>
                <w:rFonts w:cs="Arial"/>
                <w:iCs/>
                <w:sz w:val="22"/>
              </w:rPr>
              <w:t xml:space="preserve"> podíl</w:t>
            </w:r>
            <w:r w:rsidR="00C84174">
              <w:rPr>
                <w:rFonts w:cs="Arial"/>
                <w:iCs/>
                <w:sz w:val="22"/>
              </w:rPr>
              <w:t>u</w:t>
            </w:r>
            <w:r w:rsidR="00574763">
              <w:rPr>
                <w:rFonts w:cs="Arial"/>
                <w:iCs/>
                <w:sz w:val="22"/>
              </w:rPr>
              <w:t xml:space="preserve"> </w:t>
            </w:r>
            <w:r w:rsidR="00A50396">
              <w:rPr>
                <w:rFonts w:cs="Arial"/>
                <w:iCs/>
                <w:sz w:val="22"/>
              </w:rPr>
              <w:t>geotermální</w:t>
            </w:r>
            <w:r w:rsidR="00574763">
              <w:rPr>
                <w:rFonts w:cs="Arial"/>
                <w:iCs/>
                <w:sz w:val="22"/>
              </w:rPr>
              <w:t xml:space="preserve"> energie</w:t>
            </w:r>
            <w:r w:rsidRPr="00450B82">
              <w:rPr>
                <w:rFonts w:cs="Arial"/>
                <w:iCs/>
                <w:sz w:val="22"/>
              </w:rPr>
              <w:t xml:space="preserve"> na využívaných obnovitelných zdrojích energie</w:t>
            </w:r>
            <w:r w:rsidR="00A50396">
              <w:rPr>
                <w:rFonts w:cs="Arial"/>
                <w:iCs/>
                <w:sz w:val="22"/>
              </w:rPr>
              <w:t xml:space="preserve"> a</w:t>
            </w:r>
            <w:r w:rsidRPr="00450B82">
              <w:rPr>
                <w:rFonts w:cs="Arial"/>
                <w:iCs/>
                <w:sz w:val="22"/>
              </w:rPr>
              <w:t xml:space="preserve"> zaměřuje </w:t>
            </w:r>
            <w:r w:rsidR="00A50396">
              <w:rPr>
                <w:rFonts w:cs="Arial"/>
                <w:iCs/>
                <w:sz w:val="22"/>
              </w:rPr>
              <w:t xml:space="preserve">se </w:t>
            </w:r>
            <w:r w:rsidRPr="00450B82">
              <w:rPr>
                <w:rFonts w:cs="Arial"/>
                <w:iCs/>
                <w:sz w:val="22"/>
              </w:rPr>
              <w:t xml:space="preserve">na vytvoření vhodných podmínek </w:t>
            </w:r>
            <w:r w:rsidR="00574763">
              <w:rPr>
                <w:rFonts w:cs="Arial"/>
                <w:iCs/>
                <w:sz w:val="22"/>
              </w:rPr>
              <w:t>i</w:t>
            </w:r>
            <w:r w:rsidRPr="00450B82">
              <w:rPr>
                <w:rFonts w:cs="Arial"/>
                <w:iCs/>
                <w:sz w:val="22"/>
              </w:rPr>
              <w:t xml:space="preserve"> zajištění dostatečných finančních prostředků pro realizaci pilotních projektů </w:t>
            </w:r>
            <w:r w:rsidR="00BE45F9">
              <w:rPr>
                <w:rFonts w:cs="Arial"/>
                <w:iCs/>
                <w:sz w:val="22"/>
              </w:rPr>
              <w:t xml:space="preserve">pracujících s </w:t>
            </w:r>
            <w:r w:rsidRPr="00450B82">
              <w:rPr>
                <w:rFonts w:cs="Arial"/>
                <w:iCs/>
                <w:sz w:val="22"/>
              </w:rPr>
              <w:t xml:space="preserve">geotermální energii </w:t>
            </w:r>
            <w:r w:rsidR="001C3BDF">
              <w:rPr>
                <w:rFonts w:cs="Arial"/>
                <w:iCs/>
                <w:sz w:val="22"/>
              </w:rPr>
              <w:t>nebo</w:t>
            </w:r>
            <w:r w:rsidRPr="00450B82">
              <w:rPr>
                <w:rFonts w:cs="Arial"/>
                <w:iCs/>
                <w:sz w:val="22"/>
              </w:rPr>
              <w:t xml:space="preserve"> akumulac</w:t>
            </w:r>
            <w:r w:rsidR="00906016">
              <w:rPr>
                <w:rFonts w:cs="Arial"/>
                <w:iCs/>
                <w:sz w:val="22"/>
              </w:rPr>
              <w:t>í</w:t>
            </w:r>
            <w:r w:rsidRPr="00450B82">
              <w:rPr>
                <w:rFonts w:cs="Arial"/>
                <w:iCs/>
                <w:sz w:val="22"/>
              </w:rPr>
              <w:t xml:space="preserve"> tepla</w:t>
            </w:r>
            <w:r w:rsidR="00A50396">
              <w:rPr>
                <w:rFonts w:cs="Arial"/>
                <w:iCs/>
                <w:sz w:val="22"/>
              </w:rPr>
              <w:t>/chladu</w:t>
            </w:r>
            <w:r w:rsidR="001C3BDF">
              <w:rPr>
                <w:rFonts w:cs="Arial"/>
                <w:iCs/>
                <w:sz w:val="22"/>
              </w:rPr>
              <w:t xml:space="preserve">. </w:t>
            </w:r>
            <w:r w:rsidR="00574763">
              <w:rPr>
                <w:rFonts w:cs="Arial"/>
                <w:iCs/>
                <w:sz w:val="22"/>
              </w:rPr>
              <w:t>V rámci realizace projektů by</w:t>
            </w:r>
            <w:r w:rsidR="00906016">
              <w:rPr>
                <w:rFonts w:cs="Arial"/>
                <w:iCs/>
                <w:sz w:val="22"/>
              </w:rPr>
              <w:t xml:space="preserve"> </w:t>
            </w:r>
            <w:r w:rsidR="00A50396">
              <w:rPr>
                <w:rFonts w:cs="Arial"/>
                <w:iCs/>
                <w:sz w:val="22"/>
              </w:rPr>
              <w:t xml:space="preserve">zvláštní </w:t>
            </w:r>
            <w:r w:rsidR="00574763">
              <w:rPr>
                <w:rFonts w:cs="Arial"/>
                <w:iCs/>
                <w:sz w:val="22"/>
              </w:rPr>
              <w:t>p</w:t>
            </w:r>
            <w:r w:rsidR="001C3BDF">
              <w:rPr>
                <w:rFonts w:cs="Arial"/>
                <w:iCs/>
                <w:sz w:val="22"/>
              </w:rPr>
              <w:t>ozornost měla být dána využití v</w:t>
            </w:r>
            <w:r w:rsidR="00906016">
              <w:rPr>
                <w:rFonts w:cs="Arial"/>
                <w:iCs/>
                <w:sz w:val="22"/>
              </w:rPr>
              <w:t> </w:t>
            </w:r>
            <w:r w:rsidRPr="00450B82">
              <w:rPr>
                <w:rFonts w:cs="Arial"/>
                <w:iCs/>
                <w:sz w:val="22"/>
              </w:rPr>
              <w:t>SZTE</w:t>
            </w:r>
            <w:r w:rsidR="00906016">
              <w:rPr>
                <w:rFonts w:cs="Arial"/>
                <w:iCs/>
                <w:sz w:val="22"/>
              </w:rPr>
              <w:t>,</w:t>
            </w:r>
            <w:r w:rsidR="00574763">
              <w:rPr>
                <w:rFonts w:cs="Arial"/>
                <w:iCs/>
                <w:sz w:val="22"/>
              </w:rPr>
              <w:t xml:space="preserve"> a kde by to dávalo smysl, </w:t>
            </w:r>
            <w:r w:rsidR="00906016">
              <w:rPr>
                <w:rFonts w:cs="Arial"/>
                <w:iCs/>
                <w:sz w:val="22"/>
              </w:rPr>
              <w:t>pak</w:t>
            </w:r>
            <w:r w:rsidR="00574763">
              <w:rPr>
                <w:rFonts w:cs="Arial"/>
                <w:iCs/>
                <w:sz w:val="22"/>
              </w:rPr>
              <w:t xml:space="preserve"> i</w:t>
            </w:r>
            <w:r w:rsidRPr="00450B82">
              <w:rPr>
                <w:rFonts w:cs="Arial"/>
                <w:iCs/>
                <w:sz w:val="22"/>
              </w:rPr>
              <w:t xml:space="preserve"> výrob</w:t>
            </w:r>
            <w:r w:rsidR="00906016">
              <w:rPr>
                <w:rFonts w:cs="Arial"/>
                <w:iCs/>
                <w:sz w:val="22"/>
              </w:rPr>
              <w:t>ě</w:t>
            </w:r>
            <w:r w:rsidRPr="00450B82">
              <w:rPr>
                <w:rFonts w:cs="Arial"/>
                <w:iCs/>
                <w:sz w:val="22"/>
              </w:rPr>
              <w:t xml:space="preserve"> elektrické energie. </w:t>
            </w:r>
          </w:p>
          <w:p w14:paraId="101877AF" w14:textId="11C51F54" w:rsidR="00450B82" w:rsidRPr="00450B82" w:rsidRDefault="00450B82" w:rsidP="00944693">
            <w:pPr>
              <w:spacing w:line="256" w:lineRule="auto"/>
              <w:jc w:val="both"/>
              <w:rPr>
                <w:rFonts w:cs="Arial"/>
                <w:iCs/>
                <w:sz w:val="22"/>
              </w:rPr>
            </w:pPr>
            <w:r w:rsidRPr="00450B82">
              <w:rPr>
                <w:rFonts w:cs="Arial"/>
                <w:iCs/>
                <w:sz w:val="22"/>
              </w:rPr>
              <w:t xml:space="preserve">Důležitou součástí opatření je podpora mapování a vyhodnocování komplexních geologických podmínek z hlediska potenciálu využití geotermální energie, ať už ve fázi zjišťování vhodnosti využití takového zdroje v konkrétní lokalitě vybrané pro plánovaný projekt, nebo v rámci širšího mapování vhodných podmínek a lokalit na území strukturálně </w:t>
            </w:r>
            <w:r w:rsidR="00FE62E1">
              <w:rPr>
                <w:rFonts w:cs="Arial"/>
                <w:iCs/>
                <w:sz w:val="22"/>
              </w:rPr>
              <w:t>postiže</w:t>
            </w:r>
            <w:r w:rsidRPr="00450B82">
              <w:rPr>
                <w:rFonts w:cs="Arial"/>
                <w:iCs/>
                <w:sz w:val="22"/>
              </w:rPr>
              <w:t xml:space="preserve">ných regionů. Mapování podrobných geologických a technických podmínek přispěje k identifikaci vhodných lokalit poskytne nezbytné informace, které mj. </w:t>
            </w:r>
            <w:proofErr w:type="gramStart"/>
            <w:r w:rsidRPr="00450B82">
              <w:rPr>
                <w:rFonts w:cs="Arial"/>
                <w:iCs/>
                <w:sz w:val="22"/>
              </w:rPr>
              <w:t>sníží</w:t>
            </w:r>
            <w:proofErr w:type="gramEnd"/>
            <w:r w:rsidRPr="00450B82">
              <w:rPr>
                <w:rFonts w:cs="Arial"/>
                <w:iCs/>
                <w:sz w:val="22"/>
              </w:rPr>
              <w:t xml:space="preserve"> geologická, technická a finanční rizika případné investice na využití geotermální energie. </w:t>
            </w:r>
          </w:p>
          <w:p w14:paraId="15B4346B" w14:textId="77777777" w:rsidR="00450B82" w:rsidRPr="00450B82" w:rsidRDefault="00450B82" w:rsidP="00944693">
            <w:pPr>
              <w:spacing w:line="256" w:lineRule="auto"/>
              <w:jc w:val="both"/>
              <w:rPr>
                <w:rFonts w:cs="Arial"/>
                <w:iCs/>
                <w:sz w:val="22"/>
              </w:rPr>
            </w:pPr>
            <w:r w:rsidRPr="00450B82">
              <w:rPr>
                <w:rFonts w:cs="Arial"/>
                <w:iCs/>
                <w:sz w:val="22"/>
              </w:rPr>
              <w:t>Tímto opatřením mají strukturálně postižené regiony získat dodatečnou podporu na zavádění tohoto perspektivního obnovitelného zdroje i s ohledem na jejich probíhající hospodářskou restrukturalizaci a transformaci uhelné energetiky, která bude vyžadovat náhradu významné části fosilních paliv u existujících výtopen a tepláren v nejbližších letech. Rozvoj místně dostupných, bezpečných a stabilních obnovitelných zdrojů energie je v těchto krajích proto prioritou.</w:t>
            </w:r>
          </w:p>
        </w:tc>
      </w:tr>
      <w:tr w:rsidR="00450B82" w:rsidRPr="00E45B66" w14:paraId="5A510C32" w14:textId="77777777" w:rsidTr="00944693">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EED80B" w14:textId="77777777" w:rsidR="00450B82" w:rsidRPr="00450B82" w:rsidRDefault="00450B82" w:rsidP="00944693">
            <w:pPr>
              <w:spacing w:after="0" w:line="276" w:lineRule="auto"/>
              <w:rPr>
                <w:rFonts w:cs="Arial"/>
                <w:b/>
                <w:bCs/>
                <w:sz w:val="22"/>
              </w:rPr>
            </w:pPr>
            <w:r w:rsidRPr="00450B82">
              <w:rPr>
                <w:rFonts w:cs="Arial"/>
                <w:b/>
                <w:bCs/>
                <w:sz w:val="22"/>
              </w:rPr>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0E2DD50" w14:textId="77777777" w:rsidR="00450B82" w:rsidRPr="00450B82" w:rsidRDefault="00450B82" w:rsidP="00944693">
            <w:pPr>
              <w:spacing w:after="0" w:line="276" w:lineRule="auto"/>
              <w:rPr>
                <w:rFonts w:cs="Arial"/>
                <w:bCs/>
                <w:sz w:val="22"/>
              </w:rPr>
            </w:pPr>
            <w:r w:rsidRPr="00450B82">
              <w:rPr>
                <w:rFonts w:cs="Arial"/>
                <w:bCs/>
                <w:sz w:val="22"/>
              </w:rPr>
              <w:t>I.C.2.4</w:t>
            </w:r>
          </w:p>
        </w:tc>
      </w:tr>
      <w:tr w:rsidR="00450B82" w:rsidRPr="00E45B66" w14:paraId="498DC8FC" w14:textId="77777777" w:rsidTr="00944693">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4DB49A" w14:textId="77777777" w:rsidR="00450B82" w:rsidRPr="00450B82" w:rsidRDefault="00450B82" w:rsidP="00944693">
            <w:pPr>
              <w:spacing w:after="0" w:line="276" w:lineRule="auto"/>
              <w:rPr>
                <w:rFonts w:cs="Arial"/>
                <w:b/>
                <w:bCs/>
                <w:sz w:val="22"/>
              </w:rPr>
            </w:pPr>
            <w:r w:rsidRPr="00450B82">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165B01" w14:textId="77777777" w:rsidR="00450B82" w:rsidRPr="00450B82" w:rsidRDefault="00450B82" w:rsidP="00944693">
            <w:pPr>
              <w:spacing w:after="0" w:line="276" w:lineRule="auto"/>
              <w:rPr>
                <w:rFonts w:cs="Arial"/>
                <w:b/>
                <w:bCs/>
                <w:sz w:val="22"/>
              </w:rPr>
            </w:pPr>
            <w:r w:rsidRPr="00450B82">
              <w:rPr>
                <w:rFonts w:cs="Arial"/>
                <w:b/>
                <w:bCs/>
                <w:sz w:val="22"/>
              </w:rPr>
              <w:t xml:space="preserve">Od </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ADEDEF" w14:textId="77777777" w:rsidR="00450B82" w:rsidRPr="00450B82" w:rsidRDefault="00450B82" w:rsidP="00944693">
            <w:pPr>
              <w:spacing w:after="0" w:line="276" w:lineRule="auto"/>
              <w:rPr>
                <w:rFonts w:cs="Arial"/>
                <w:b/>
                <w:bCs/>
                <w:sz w:val="22"/>
              </w:rPr>
            </w:pPr>
            <w:r w:rsidRPr="00450B82">
              <w:rPr>
                <w:rFonts w:cs="Arial"/>
                <w:b/>
                <w:bCs/>
                <w:sz w:val="22"/>
              </w:rPr>
              <w:t xml:space="preserve">Do </w:t>
            </w:r>
          </w:p>
        </w:tc>
      </w:tr>
      <w:tr w:rsidR="00450B82" w:rsidRPr="00E45B66" w14:paraId="47A62DAF" w14:textId="77777777" w:rsidTr="00944693">
        <w:trPr>
          <w:trHeight w:val="306"/>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64393F" w14:textId="77777777" w:rsidR="00450B82" w:rsidRPr="00450B82" w:rsidRDefault="00450B82" w:rsidP="00944693">
            <w:pPr>
              <w:spacing w:after="0" w:line="276" w:lineRule="auto"/>
              <w:rPr>
                <w:rFonts w:cs="Arial"/>
                <w:b/>
                <w:bCs/>
                <w:sz w:val="22"/>
              </w:rPr>
            </w:pP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F50D97" w14:textId="77777777" w:rsidR="00450B82" w:rsidRPr="00450B82" w:rsidRDefault="00450B82" w:rsidP="00944693">
            <w:pPr>
              <w:spacing w:after="0" w:line="276" w:lineRule="auto"/>
              <w:rPr>
                <w:rFonts w:cs="Arial"/>
                <w:bCs/>
                <w:color w:val="000000" w:themeColor="text1"/>
                <w:sz w:val="22"/>
              </w:rPr>
            </w:pPr>
            <w:r w:rsidRPr="00450B82">
              <w:rPr>
                <w:rFonts w:cs="Arial"/>
                <w:bCs/>
                <w:color w:val="000000" w:themeColor="text1"/>
                <w:sz w:val="22"/>
              </w:rPr>
              <w:t>2025</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171C51" w14:textId="77777777" w:rsidR="00450B82" w:rsidRPr="00450B82" w:rsidRDefault="00450B82" w:rsidP="00944693">
            <w:pPr>
              <w:spacing w:after="0" w:line="276" w:lineRule="auto"/>
              <w:rPr>
                <w:rFonts w:cs="Arial"/>
                <w:bCs/>
                <w:color w:val="000000" w:themeColor="text1"/>
                <w:sz w:val="22"/>
              </w:rPr>
            </w:pPr>
            <w:r w:rsidRPr="00450B82">
              <w:rPr>
                <w:rFonts w:cs="Arial"/>
                <w:bCs/>
                <w:color w:val="000000" w:themeColor="text1"/>
                <w:sz w:val="22"/>
              </w:rPr>
              <w:t>2030</w:t>
            </w:r>
          </w:p>
        </w:tc>
      </w:tr>
      <w:tr w:rsidR="00450B82" w:rsidRPr="00E45B66" w14:paraId="024BA5E5" w14:textId="77777777" w:rsidTr="00944693">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337FBF" w14:textId="77777777" w:rsidR="00450B82" w:rsidRPr="00450B82" w:rsidRDefault="00450B82" w:rsidP="00944693">
            <w:pPr>
              <w:spacing w:after="0" w:line="276" w:lineRule="auto"/>
              <w:rPr>
                <w:rFonts w:cs="Arial"/>
                <w:b/>
                <w:bCs/>
                <w:sz w:val="22"/>
              </w:rPr>
            </w:pPr>
            <w:r w:rsidRPr="00450B82">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B88ED0" w14:textId="77777777" w:rsidR="00450B82" w:rsidRPr="00450B82" w:rsidRDefault="00450B82" w:rsidP="00944693">
            <w:pPr>
              <w:spacing w:after="0" w:line="276" w:lineRule="auto"/>
              <w:rPr>
                <w:rFonts w:cs="Arial"/>
                <w:b/>
                <w:bCs/>
                <w:sz w:val="22"/>
              </w:rPr>
            </w:pPr>
            <w:r w:rsidRPr="00450B82">
              <w:rPr>
                <w:rFonts w:cs="Arial"/>
                <w:b/>
                <w:bCs/>
                <w:sz w:val="22"/>
              </w:rPr>
              <w:t>Organizace</w:t>
            </w:r>
          </w:p>
        </w:tc>
      </w:tr>
      <w:tr w:rsidR="00450B82" w:rsidRPr="00E45B66" w14:paraId="2AB0B001" w14:textId="77777777" w:rsidTr="00944693">
        <w:trPr>
          <w:trHeight w:val="68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27FDFC" w14:textId="77777777" w:rsidR="00450B82" w:rsidRPr="00450B82" w:rsidRDefault="00450B82" w:rsidP="00944693">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478471" w14:textId="77777777" w:rsidR="00450B82" w:rsidRPr="00450B82" w:rsidRDefault="00450B82" w:rsidP="00944693">
            <w:pPr>
              <w:spacing w:after="0" w:line="276" w:lineRule="auto"/>
              <w:rPr>
                <w:rFonts w:cs="Arial"/>
                <w:bCs/>
                <w:sz w:val="22"/>
              </w:rPr>
            </w:pPr>
            <w:r w:rsidRPr="00450B82">
              <w:rPr>
                <w:rFonts w:cs="Arial"/>
                <w:bCs/>
                <w:sz w:val="22"/>
              </w:rPr>
              <w:t>MŽP</w:t>
            </w:r>
          </w:p>
        </w:tc>
      </w:tr>
      <w:tr w:rsidR="00450B82" w:rsidRPr="00E45B66" w14:paraId="11119FF3" w14:textId="77777777" w:rsidTr="00944693">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75CDEBE" w14:textId="77777777" w:rsidR="00450B82" w:rsidRPr="00450B82" w:rsidRDefault="00450B82" w:rsidP="00944693">
            <w:pPr>
              <w:spacing w:after="0" w:line="276" w:lineRule="auto"/>
              <w:rPr>
                <w:rFonts w:cs="Arial"/>
                <w:b/>
                <w:bCs/>
                <w:sz w:val="22"/>
              </w:rPr>
            </w:pPr>
            <w:r w:rsidRPr="00450B82">
              <w:rPr>
                <w:rFonts w:cs="Arial"/>
                <w:b/>
                <w:bCs/>
                <w:sz w:val="22"/>
              </w:rPr>
              <w:t>Rozpočet (odhad)</w:t>
            </w:r>
          </w:p>
          <w:p w14:paraId="20DA0AB3" w14:textId="77777777" w:rsidR="00450B82" w:rsidRPr="00450B82" w:rsidRDefault="00450B82" w:rsidP="00944693">
            <w:pPr>
              <w:spacing w:after="0" w:line="276" w:lineRule="auto"/>
              <w:rPr>
                <w:rFonts w:cs="Arial"/>
                <w:bCs/>
                <w:sz w:val="22"/>
              </w:rPr>
            </w:pPr>
            <w:r w:rsidRPr="00450B82">
              <w:rPr>
                <w:rFonts w:cs="Arial"/>
                <w:bCs/>
                <w:i/>
                <w:sz w:val="22"/>
              </w:rPr>
              <w:t>na realizaci nebo na přípravu v případě, kdy se opatření připravuje pro další akční plán</w:t>
            </w:r>
            <w:r w:rsidRPr="00450B82">
              <w:rPr>
                <w:rFonts w:cs="Arial"/>
                <w:bCs/>
                <w:sz w:val="22"/>
              </w:rPr>
              <w:t> </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D9292D" w14:textId="77777777" w:rsidR="00450B82" w:rsidRPr="00450B82" w:rsidRDefault="00450B82" w:rsidP="00944693">
            <w:pPr>
              <w:spacing w:after="0" w:line="276" w:lineRule="auto"/>
              <w:rPr>
                <w:rFonts w:cs="Arial"/>
                <w:b/>
                <w:sz w:val="22"/>
              </w:rPr>
            </w:pPr>
            <w:r w:rsidRPr="00450B82">
              <w:rPr>
                <w:rFonts w:cs="Arial"/>
                <w:b/>
                <w:bCs/>
                <w:sz w:val="22"/>
              </w:rPr>
              <w:t>Objem (Kč) na celé období realizace</w:t>
            </w:r>
            <w:r w:rsidRPr="00450B82">
              <w:rPr>
                <w:rFonts w:cs="Arial"/>
                <w:bCs/>
                <w:i/>
                <w:sz w:val="22"/>
              </w:rPr>
              <w:t xml:space="preserve"> </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0D8D60" w14:textId="77777777" w:rsidR="00450B82" w:rsidRPr="00450B82" w:rsidRDefault="00450B82" w:rsidP="00944693">
            <w:pPr>
              <w:spacing w:after="0" w:line="276" w:lineRule="auto"/>
              <w:rPr>
                <w:rFonts w:cs="Arial"/>
                <w:b/>
                <w:bCs/>
                <w:sz w:val="22"/>
              </w:rPr>
            </w:pPr>
            <w:r w:rsidRPr="00450B82">
              <w:rPr>
                <w:rFonts w:cs="Arial"/>
                <w:b/>
                <w:bCs/>
                <w:sz w:val="22"/>
              </w:rPr>
              <w:t xml:space="preserve">Předpokládané zdroje financování </w:t>
            </w:r>
          </w:p>
          <w:p w14:paraId="4FF5502D" w14:textId="77777777" w:rsidR="00450B82" w:rsidRPr="00450B82" w:rsidRDefault="00450B82" w:rsidP="00944693">
            <w:pPr>
              <w:spacing w:after="0" w:line="276" w:lineRule="auto"/>
              <w:jc w:val="both"/>
              <w:rPr>
                <w:rFonts w:cs="Arial"/>
                <w:bCs/>
                <w:i/>
                <w:sz w:val="22"/>
              </w:rPr>
            </w:pPr>
          </w:p>
        </w:tc>
      </w:tr>
      <w:tr w:rsidR="00450B82" w:rsidRPr="00E45B66" w14:paraId="6F50432A" w14:textId="77777777" w:rsidTr="00944693">
        <w:trPr>
          <w:trHeight w:val="731"/>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C31D955" w14:textId="77777777" w:rsidR="00450B82" w:rsidRPr="00450B82" w:rsidRDefault="00450B82" w:rsidP="00944693">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6B8A96" w14:textId="2C24C495" w:rsidR="00450B82" w:rsidRPr="00450B82" w:rsidRDefault="00AC017F" w:rsidP="00944693">
            <w:pPr>
              <w:spacing w:after="0" w:line="276" w:lineRule="auto"/>
              <w:rPr>
                <w:rFonts w:cs="Arial"/>
                <w:bCs/>
                <w:sz w:val="22"/>
              </w:rPr>
            </w:pPr>
            <w:r>
              <w:rPr>
                <w:rFonts w:cs="Arial"/>
                <w:bCs/>
                <w:sz w:val="22"/>
              </w:rPr>
              <w:t>2 mld. Kč</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B08E4E" w14:textId="0D8A8152" w:rsidR="00450B82" w:rsidRPr="00450B82" w:rsidRDefault="001D0AC9" w:rsidP="00944693">
            <w:pPr>
              <w:spacing w:after="0" w:line="276" w:lineRule="auto"/>
              <w:rPr>
                <w:rFonts w:cs="Arial"/>
                <w:bCs/>
                <w:sz w:val="22"/>
              </w:rPr>
            </w:pPr>
            <w:r>
              <w:rPr>
                <w:rFonts w:cs="Arial"/>
                <w:bCs/>
                <w:sz w:val="22"/>
              </w:rPr>
              <w:t>Zdroje ve správě MŽP</w:t>
            </w:r>
          </w:p>
        </w:tc>
      </w:tr>
      <w:tr w:rsidR="00450B82" w:rsidRPr="00E45B66" w14:paraId="1F2420AD" w14:textId="77777777" w:rsidTr="00944693">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2D93C5" w14:textId="77777777" w:rsidR="00450B82" w:rsidRPr="00450B82" w:rsidRDefault="00450B82" w:rsidP="00944693">
            <w:pPr>
              <w:spacing w:after="0" w:line="276" w:lineRule="auto"/>
              <w:rPr>
                <w:rFonts w:cs="Arial"/>
                <w:b/>
                <w:bCs/>
                <w:sz w:val="22"/>
              </w:rPr>
            </w:pPr>
            <w:r w:rsidRPr="00450B82">
              <w:rPr>
                <w:rFonts w:cs="Arial"/>
                <w:b/>
                <w:bCs/>
                <w:sz w:val="22"/>
              </w:rPr>
              <w:lastRenderedPageBreak/>
              <w:t xml:space="preserve">Příprava programu/opatření </w:t>
            </w:r>
          </w:p>
          <w:p w14:paraId="708AF3F6" w14:textId="03D57FA4" w:rsidR="00450B82" w:rsidRPr="00450B82" w:rsidRDefault="00450B82" w:rsidP="00944693">
            <w:pPr>
              <w:spacing w:after="0" w:line="276" w:lineRule="auto"/>
              <w:rPr>
                <w:rFonts w:cs="Arial"/>
                <w:sz w:val="22"/>
              </w:rPr>
            </w:pPr>
            <w:r w:rsidRPr="00450B82">
              <w:rPr>
                <w:rFonts w:cs="Arial"/>
                <w:b/>
                <w:bCs/>
                <w:sz w:val="22"/>
              </w:rPr>
              <w:t xml:space="preserve">nebo objem prostředků na realizaci pro rok </w:t>
            </w:r>
            <w:r w:rsidR="001D0AC9">
              <w:rPr>
                <w:rFonts w:cs="Arial"/>
                <w:b/>
                <w:bCs/>
                <w:sz w:val="22"/>
              </w:rPr>
              <w:t>2025-2026+</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BE06E6" w14:textId="063F3E6D" w:rsidR="00450B82" w:rsidRPr="00450B82" w:rsidRDefault="00AC017F" w:rsidP="00944693">
            <w:pPr>
              <w:spacing w:after="0" w:line="276" w:lineRule="auto"/>
              <w:rPr>
                <w:rFonts w:cs="Arial"/>
                <w:b/>
                <w:bCs/>
                <w:sz w:val="22"/>
              </w:rPr>
            </w:pPr>
            <w:r>
              <w:rPr>
                <w:rFonts w:cs="Arial"/>
                <w:b/>
                <w:bCs/>
                <w:sz w:val="22"/>
              </w:rPr>
              <w:t>2025</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1B7A00" w14:textId="77777777" w:rsidR="00450B82" w:rsidRPr="00450B82" w:rsidRDefault="00450B82" w:rsidP="00944693">
            <w:pPr>
              <w:spacing w:after="0" w:line="276" w:lineRule="auto"/>
              <w:rPr>
                <w:rFonts w:cs="Arial"/>
                <w:bCs/>
                <w:sz w:val="22"/>
              </w:rPr>
            </w:pPr>
          </w:p>
        </w:tc>
      </w:tr>
      <w:tr w:rsidR="00450B82" w:rsidRPr="00E45B66" w14:paraId="4D42403F" w14:textId="77777777" w:rsidTr="00944693">
        <w:trPr>
          <w:trHeight w:val="508"/>
        </w:trPr>
        <w:tc>
          <w:tcPr>
            <w:tcW w:w="2552" w:type="dxa"/>
            <w:vMerge/>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065C0C" w14:textId="77777777" w:rsidR="00450B82" w:rsidRPr="00450B82" w:rsidRDefault="00450B82" w:rsidP="00944693">
            <w:pPr>
              <w:spacing w:after="0" w:line="276" w:lineRule="auto"/>
              <w:rPr>
                <w:rFonts w:cs="Arial"/>
                <w:bCs/>
                <w:sz w:val="22"/>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0611F9" w14:textId="38E2E2DD" w:rsidR="00450B82" w:rsidRPr="00450B82" w:rsidRDefault="00AC017F" w:rsidP="00944693">
            <w:pPr>
              <w:spacing w:after="0" w:line="276" w:lineRule="auto"/>
              <w:rPr>
                <w:rFonts w:cs="Arial"/>
                <w:bCs/>
                <w:sz w:val="22"/>
              </w:rPr>
            </w:pPr>
            <w:r>
              <w:rPr>
                <w:rFonts w:cs="Arial"/>
                <w:bCs/>
                <w:sz w:val="22"/>
              </w:rPr>
              <w:t>2026+</w:t>
            </w:r>
          </w:p>
        </w:tc>
        <w:tc>
          <w:tcPr>
            <w:tcW w:w="4956"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EC6095" w14:textId="19D3E305" w:rsidR="00450B82" w:rsidRPr="00450B82" w:rsidRDefault="00AC017F" w:rsidP="00944693">
            <w:pPr>
              <w:spacing w:after="0" w:line="276" w:lineRule="auto"/>
              <w:rPr>
                <w:rFonts w:cs="Arial"/>
                <w:bCs/>
                <w:sz w:val="22"/>
              </w:rPr>
            </w:pPr>
            <w:r>
              <w:rPr>
                <w:rFonts w:cs="Arial"/>
                <w:bCs/>
                <w:sz w:val="22"/>
              </w:rPr>
              <w:t>2 mld. Kč</w:t>
            </w:r>
          </w:p>
        </w:tc>
      </w:tr>
      <w:tr w:rsidR="00450B82" w:rsidRPr="00E45B66" w14:paraId="185C4D49" w14:textId="77777777" w:rsidTr="00944693">
        <w:trPr>
          <w:trHeight w:val="38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A77E24" w14:textId="77777777" w:rsidR="00450B82" w:rsidRPr="00450B82" w:rsidRDefault="00450B82" w:rsidP="00944693">
            <w:pPr>
              <w:spacing w:after="0" w:line="276" w:lineRule="auto"/>
              <w:rPr>
                <w:rFonts w:cs="Arial"/>
                <w:bCs/>
                <w:sz w:val="22"/>
              </w:rPr>
            </w:pPr>
            <w:r w:rsidRPr="00450B82">
              <w:rPr>
                <w:rFonts w:cs="Arial"/>
                <w:b/>
                <w:bCs/>
                <w:sz w:val="22"/>
              </w:rPr>
              <w:t>Provozní náklady (odhad)</w:t>
            </w:r>
            <w:r w:rsidRPr="00450B82">
              <w:rPr>
                <w:rFonts w:cs="Arial"/>
                <w:bCs/>
                <w:sz w:val="22"/>
              </w:rPr>
              <w:t xml:space="preserve"> </w:t>
            </w:r>
            <w:r w:rsidRPr="00450B82">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9EE8F9" w14:textId="77777777" w:rsidR="00450B82" w:rsidRPr="00450B82" w:rsidRDefault="00450B82" w:rsidP="00944693">
            <w:pPr>
              <w:spacing w:after="0" w:line="276" w:lineRule="auto"/>
              <w:rPr>
                <w:rFonts w:cs="Arial"/>
                <w:bCs/>
                <w:sz w:val="22"/>
              </w:rPr>
            </w:pPr>
            <w:r w:rsidRPr="00450B82">
              <w:rPr>
                <w:rFonts w:cs="Arial"/>
                <w:bCs/>
                <w:sz w:val="22"/>
              </w:rPr>
              <w:t>---</w:t>
            </w:r>
          </w:p>
        </w:tc>
      </w:tr>
    </w:tbl>
    <w:p w14:paraId="5607CEF3" w14:textId="1A21DF7D" w:rsidR="00450B82" w:rsidRDefault="00450B82" w:rsidP="00450B82"/>
    <w:p w14:paraId="20878811" w14:textId="0A7BBCDC" w:rsidR="00450B82" w:rsidRDefault="00450B82" w:rsidP="00450B82"/>
    <w:p w14:paraId="4808FEBE" w14:textId="1C21890E" w:rsidR="00450B82" w:rsidRDefault="00450B82" w:rsidP="00450B82"/>
    <w:p w14:paraId="4D93A33F" w14:textId="18CF70CB" w:rsidR="00450B82" w:rsidRDefault="00450B82" w:rsidP="00450B82"/>
    <w:p w14:paraId="6926D823" w14:textId="123E9FFE" w:rsidR="00DF6076" w:rsidRDefault="00DF6076" w:rsidP="00450B82"/>
    <w:p w14:paraId="078C8E9F" w14:textId="364817D8" w:rsidR="00DF6076" w:rsidRDefault="00DF6076" w:rsidP="00450B82"/>
    <w:p w14:paraId="06C78826" w14:textId="2FBEC2A4" w:rsidR="00DF6076" w:rsidRDefault="00DF6076" w:rsidP="00450B82"/>
    <w:p w14:paraId="443DE731" w14:textId="00E05038" w:rsidR="00DF6076" w:rsidRDefault="00DF6076" w:rsidP="00450B82"/>
    <w:p w14:paraId="38721D2E" w14:textId="76FD621E" w:rsidR="007006B2" w:rsidRDefault="007006B2" w:rsidP="00450B82"/>
    <w:p w14:paraId="71AA2204" w14:textId="26E7DCE1" w:rsidR="007006B2" w:rsidRDefault="007006B2" w:rsidP="00450B82"/>
    <w:p w14:paraId="28116D18" w14:textId="3F9304E4" w:rsidR="007006B2" w:rsidRDefault="007006B2" w:rsidP="00450B82"/>
    <w:p w14:paraId="062F6A23" w14:textId="640762E1" w:rsidR="007006B2" w:rsidRDefault="007006B2" w:rsidP="00450B82"/>
    <w:p w14:paraId="0A694B5A" w14:textId="047C679B" w:rsidR="007006B2" w:rsidRDefault="007006B2" w:rsidP="00450B82"/>
    <w:p w14:paraId="339F69B8" w14:textId="05A78B78" w:rsidR="007006B2" w:rsidRDefault="007006B2" w:rsidP="00450B82"/>
    <w:p w14:paraId="079E22FC" w14:textId="77777777" w:rsidR="007006B2" w:rsidRDefault="007006B2" w:rsidP="00450B82"/>
    <w:p w14:paraId="134B0137" w14:textId="3F7A6815" w:rsidR="00DF6076" w:rsidRDefault="00DF6076" w:rsidP="00450B82"/>
    <w:p w14:paraId="55F7C3F2" w14:textId="1D24FE59" w:rsidR="00DF6076" w:rsidRDefault="00DF6076" w:rsidP="00450B82"/>
    <w:p w14:paraId="2F3E513C" w14:textId="04BF276B" w:rsidR="00DF6076" w:rsidRDefault="00DF6076" w:rsidP="00450B82"/>
    <w:p w14:paraId="3457E553" w14:textId="66F9321A" w:rsidR="00DF6076" w:rsidRDefault="00DF6076" w:rsidP="00450B82"/>
    <w:p w14:paraId="0103EB03" w14:textId="77777777" w:rsidR="00DF6076" w:rsidRDefault="00DF6076" w:rsidP="00450B82"/>
    <w:p w14:paraId="0B9FBBB5" w14:textId="09F0D2DE" w:rsidR="00DF6076" w:rsidRDefault="00DF6076" w:rsidP="00450B82"/>
    <w:p w14:paraId="76D64664" w14:textId="15576FEE" w:rsidR="00DF6076" w:rsidRDefault="00DF6076" w:rsidP="00450B82"/>
    <w:p w14:paraId="566DABD7" w14:textId="77777777" w:rsidR="00DF6076" w:rsidRDefault="00DF6076" w:rsidP="00450B82"/>
    <w:p w14:paraId="4482C522" w14:textId="77777777" w:rsidR="00450B82" w:rsidRPr="00450B82" w:rsidRDefault="00450B82" w:rsidP="00450B82"/>
    <w:p w14:paraId="43ABE39D" w14:textId="6587B71F" w:rsidR="00351B00" w:rsidRDefault="00D84868" w:rsidP="00D84868">
      <w:pPr>
        <w:pStyle w:val="Nadpis1"/>
        <w:ind w:left="432"/>
        <w:rPr>
          <w:rFonts w:cs="Arial"/>
        </w:rPr>
      </w:pPr>
      <w:bookmarkStart w:id="74" w:name="_Toc175743068"/>
      <w:r w:rsidRPr="00D84868">
        <w:rPr>
          <w:rFonts w:cs="Arial"/>
        </w:rPr>
        <w:lastRenderedPageBreak/>
        <w:t>Pilíř G – Infrastruktura a veřejná správa</w:t>
      </w:r>
      <w:bookmarkEnd w:id="74"/>
    </w:p>
    <w:p w14:paraId="22891B12" w14:textId="77777777" w:rsidR="007006B2" w:rsidRPr="007006B2" w:rsidRDefault="007006B2" w:rsidP="007006B2"/>
    <w:p w14:paraId="43F243AD" w14:textId="77777777" w:rsidR="00D84868" w:rsidRDefault="00D84868" w:rsidP="00D84868">
      <w:pPr>
        <w:pStyle w:val="Nadpis2"/>
        <w:spacing w:line="276" w:lineRule="auto"/>
      </w:pPr>
      <w:bookmarkStart w:id="75" w:name="_Toc175743069"/>
      <w:r>
        <w:t>G.1 Dopravně propojit území tam, kde dochází k signifikantní bariéře pro rozvoj a růst</w:t>
      </w:r>
      <w:bookmarkEnd w:id="75"/>
    </w:p>
    <w:p w14:paraId="07E947E7" w14:textId="77777777" w:rsidR="00D84868" w:rsidRDefault="00D84868" w:rsidP="00D84868">
      <w:pPr>
        <w:pStyle w:val="Nadpis3"/>
        <w:ind w:left="720"/>
      </w:pPr>
      <w:bookmarkStart w:id="76" w:name="_Toc175743070"/>
      <w:r>
        <w:t>VI.G.1.1 Dopravní napojení strategického významu ve strukturálně postižených regionech</w:t>
      </w:r>
      <w:bookmarkEnd w:id="76"/>
    </w:p>
    <w:p w14:paraId="08D21AF8" w14:textId="15A3E0D0" w:rsidR="003D0FE2" w:rsidRPr="003D0FE2" w:rsidRDefault="00D84868" w:rsidP="00D84868">
      <w:pPr>
        <w:pStyle w:val="Nadpis3"/>
        <w:numPr>
          <w:ilvl w:val="0"/>
          <w:numId w:val="0"/>
        </w:numPr>
      </w:pPr>
      <w:r>
        <w:t xml:space="preserve"> </w:t>
      </w:r>
    </w:p>
    <w:tbl>
      <w:tblPr>
        <w:tblW w:w="9351" w:type="dxa"/>
        <w:tblBorders>
          <w:top w:val="single" w:sz="4" w:space="0" w:color="000001"/>
          <w:left w:val="single" w:sz="4" w:space="0" w:color="000001"/>
          <w:bottom w:val="single" w:sz="18" w:space="0" w:color="000001"/>
          <w:right w:val="single" w:sz="4" w:space="0" w:color="000001"/>
          <w:insideH w:val="single" w:sz="18" w:space="0" w:color="000001"/>
          <w:insideV w:val="single" w:sz="4" w:space="0" w:color="000001"/>
        </w:tblBorders>
        <w:tblLook w:val="04A0" w:firstRow="1" w:lastRow="0" w:firstColumn="1" w:lastColumn="0" w:noHBand="0" w:noVBand="1"/>
      </w:tblPr>
      <w:tblGrid>
        <w:gridCol w:w="2552"/>
        <w:gridCol w:w="2405"/>
        <w:gridCol w:w="926"/>
        <w:gridCol w:w="3468"/>
      </w:tblGrid>
      <w:tr w:rsidR="00D84868" w:rsidRPr="0017795C" w14:paraId="183FA555" w14:textId="77777777" w:rsidTr="00AE2946">
        <w:trPr>
          <w:trHeight w:val="1358"/>
        </w:trPr>
        <w:tc>
          <w:tcPr>
            <w:tcW w:w="2552" w:type="dxa"/>
            <w:tcBorders>
              <w:top w:val="single" w:sz="18" w:space="0" w:color="000001"/>
              <w:left w:val="single" w:sz="4" w:space="0" w:color="000001"/>
              <w:bottom w:val="single" w:sz="4" w:space="0" w:color="000001"/>
              <w:right w:val="single" w:sz="4" w:space="0" w:color="000001"/>
            </w:tcBorders>
            <w:shd w:val="clear" w:color="auto" w:fill="auto"/>
            <w:tcMar>
              <w:left w:w="108" w:type="dxa"/>
            </w:tcMar>
          </w:tcPr>
          <w:bookmarkEnd w:id="70"/>
          <w:p w14:paraId="235C88D2" w14:textId="77777777" w:rsidR="00D84868" w:rsidRPr="0017795C" w:rsidRDefault="00D84868" w:rsidP="00AE2946">
            <w:pPr>
              <w:spacing w:after="0" w:line="276" w:lineRule="auto"/>
              <w:rPr>
                <w:rFonts w:cs="Arial"/>
                <w:b/>
                <w:bCs/>
                <w:sz w:val="22"/>
              </w:rPr>
            </w:pPr>
            <w:r w:rsidRPr="0017795C">
              <w:rPr>
                <w:rFonts w:cs="Arial"/>
                <w:b/>
                <w:bCs/>
                <w:sz w:val="22"/>
              </w:rPr>
              <w:t>Úkol</w:t>
            </w:r>
          </w:p>
        </w:tc>
        <w:tc>
          <w:tcPr>
            <w:tcW w:w="6799" w:type="dxa"/>
            <w:gridSpan w:val="3"/>
            <w:tcBorders>
              <w:top w:val="single" w:sz="18" w:space="0" w:color="000001"/>
              <w:left w:val="single" w:sz="4" w:space="0" w:color="000001"/>
              <w:bottom w:val="single" w:sz="4" w:space="0" w:color="000001"/>
              <w:right w:val="single" w:sz="4" w:space="0" w:color="000001"/>
            </w:tcBorders>
            <w:shd w:val="clear" w:color="auto" w:fill="auto"/>
            <w:tcMar>
              <w:left w:w="108" w:type="dxa"/>
            </w:tcMar>
          </w:tcPr>
          <w:p w14:paraId="2FF99890" w14:textId="77777777" w:rsidR="00D84868" w:rsidRPr="00911361" w:rsidRDefault="00D84868" w:rsidP="00AE2946">
            <w:pPr>
              <w:spacing w:after="0"/>
              <w:jc w:val="both"/>
              <w:rPr>
                <w:rFonts w:cs="Arial"/>
                <w:b/>
                <w:bCs/>
                <w:iCs/>
                <w:sz w:val="22"/>
              </w:rPr>
            </w:pPr>
            <w:r w:rsidRPr="00911361">
              <w:rPr>
                <w:rFonts w:cs="Arial"/>
                <w:b/>
                <w:bCs/>
                <w:iCs/>
                <w:sz w:val="22"/>
              </w:rPr>
              <w:t>Vláda ČR ukládá:</w:t>
            </w:r>
          </w:p>
          <w:p w14:paraId="0BE110AB" w14:textId="77777777" w:rsidR="00D84868" w:rsidRPr="00911361" w:rsidRDefault="00D84868" w:rsidP="00D84868">
            <w:pPr>
              <w:spacing w:after="0"/>
              <w:jc w:val="both"/>
              <w:rPr>
                <w:rFonts w:eastAsia="Times New Roman" w:cs="Arial"/>
                <w:b/>
                <w:iCs/>
                <w:sz w:val="22"/>
                <w:lang w:eastAsia="cs-CZ"/>
              </w:rPr>
            </w:pPr>
            <w:r w:rsidRPr="00911361">
              <w:rPr>
                <w:rFonts w:eastAsia="Times New Roman" w:cs="Arial"/>
                <w:b/>
                <w:iCs/>
                <w:sz w:val="22"/>
                <w:lang w:eastAsia="cs-CZ"/>
              </w:rPr>
              <w:t>ministrovi dopravy</w:t>
            </w:r>
          </w:p>
          <w:p w14:paraId="5449223F" w14:textId="0DD1C8B9" w:rsidR="00D84868" w:rsidRPr="00911361" w:rsidRDefault="00D84868" w:rsidP="002E4092">
            <w:pPr>
              <w:pStyle w:val="Odstavecseseznamem"/>
              <w:numPr>
                <w:ilvl w:val="0"/>
                <w:numId w:val="15"/>
              </w:numPr>
              <w:spacing w:after="0" w:line="276" w:lineRule="auto"/>
              <w:jc w:val="both"/>
              <w:rPr>
                <w:rFonts w:eastAsia="Times New Roman" w:cs="Arial"/>
                <w:iCs/>
                <w:sz w:val="22"/>
                <w:lang w:eastAsia="cs-CZ"/>
              </w:rPr>
            </w:pPr>
            <w:r w:rsidRPr="00911361">
              <w:rPr>
                <w:rFonts w:eastAsia="Times New Roman" w:cs="Arial"/>
                <w:iCs/>
                <w:sz w:val="22"/>
                <w:lang w:eastAsia="cs-CZ"/>
              </w:rPr>
              <w:t>v součinnosti s hejtmankou a hejtmany strukturálně postižených regionů definovat dopravní úseky pro napojení vybraných rozvojových ploch a průmyslových zón, periferních oblastí a oblastí s potenciálem hospodářského rozvoje těchto regionů. Tyto úseky nadefinovat každoročně do 31. 7. po dobu trvání tohoto opatření.</w:t>
            </w:r>
          </w:p>
          <w:p w14:paraId="14B3B896" w14:textId="7875B7A6" w:rsidR="00D84868" w:rsidRPr="00911361" w:rsidRDefault="00D84868" w:rsidP="00D84868">
            <w:pPr>
              <w:spacing w:after="0"/>
              <w:jc w:val="both"/>
              <w:rPr>
                <w:rFonts w:cs="Arial"/>
                <w:b/>
                <w:iCs/>
                <w:sz w:val="22"/>
              </w:rPr>
            </w:pPr>
            <w:r w:rsidRPr="00911361">
              <w:rPr>
                <w:rFonts w:cs="Arial"/>
                <w:b/>
                <w:iCs/>
                <w:sz w:val="22"/>
              </w:rPr>
              <w:t>Ministrovi pro místní rozvoj</w:t>
            </w:r>
          </w:p>
          <w:p w14:paraId="0F1E4B69" w14:textId="0AFC7C74" w:rsidR="00D84868" w:rsidRPr="00D84868" w:rsidRDefault="00D84868" w:rsidP="002E4092">
            <w:pPr>
              <w:pStyle w:val="Odstavecseseznamem"/>
              <w:numPr>
                <w:ilvl w:val="0"/>
                <w:numId w:val="15"/>
              </w:numPr>
              <w:spacing w:after="0" w:line="276" w:lineRule="auto"/>
              <w:jc w:val="both"/>
              <w:rPr>
                <w:rFonts w:cs="Arial"/>
                <w:bCs/>
                <w:i/>
                <w:sz w:val="22"/>
              </w:rPr>
            </w:pPr>
            <w:r w:rsidRPr="00911361">
              <w:rPr>
                <w:rFonts w:cs="Arial"/>
                <w:iCs/>
                <w:sz w:val="22"/>
              </w:rPr>
              <w:t>předložit tento seznam dopravních úseků na vládu do konce kalendářního roku, kdy došlo k jeho nadefinování.</w:t>
            </w:r>
          </w:p>
        </w:tc>
      </w:tr>
      <w:tr w:rsidR="00D84868" w:rsidRPr="0017795C" w14:paraId="57EE0390" w14:textId="77777777" w:rsidTr="00AE2946">
        <w:trPr>
          <w:trHeight w:val="323"/>
        </w:trPr>
        <w:tc>
          <w:tcPr>
            <w:tcW w:w="2552" w:type="dxa"/>
            <w:tcBorders>
              <w:top w:val="single" w:sz="18" w:space="0" w:color="000001"/>
              <w:left w:val="single" w:sz="4" w:space="0" w:color="000001"/>
              <w:bottom w:val="single" w:sz="18" w:space="0" w:color="auto"/>
              <w:right w:val="single" w:sz="4" w:space="0" w:color="000001"/>
            </w:tcBorders>
            <w:shd w:val="clear" w:color="auto" w:fill="auto"/>
            <w:tcMar>
              <w:left w:w="108" w:type="dxa"/>
            </w:tcMar>
          </w:tcPr>
          <w:p w14:paraId="5CB66B78" w14:textId="77777777" w:rsidR="00D84868" w:rsidRPr="0017795C" w:rsidRDefault="00D84868" w:rsidP="00AE2946">
            <w:pPr>
              <w:spacing w:after="0" w:line="276" w:lineRule="auto"/>
              <w:rPr>
                <w:rFonts w:cs="Arial"/>
                <w:b/>
                <w:bCs/>
                <w:sz w:val="22"/>
              </w:rPr>
            </w:pPr>
            <w:r w:rsidRPr="0017795C">
              <w:rPr>
                <w:rFonts w:cs="Arial"/>
                <w:b/>
                <w:bCs/>
                <w:sz w:val="22"/>
              </w:rPr>
              <w:t>Pilíř/pilíře</w:t>
            </w:r>
          </w:p>
        </w:tc>
        <w:tc>
          <w:tcPr>
            <w:tcW w:w="6799" w:type="dxa"/>
            <w:gridSpan w:val="3"/>
            <w:tcBorders>
              <w:top w:val="single" w:sz="18" w:space="0" w:color="000001"/>
              <w:left w:val="single" w:sz="4" w:space="0" w:color="000001"/>
              <w:bottom w:val="single" w:sz="18" w:space="0" w:color="auto"/>
              <w:right w:val="single" w:sz="4" w:space="0" w:color="000001"/>
            </w:tcBorders>
            <w:shd w:val="clear" w:color="auto" w:fill="auto"/>
            <w:tcMar>
              <w:left w:w="108" w:type="dxa"/>
            </w:tcMar>
          </w:tcPr>
          <w:p w14:paraId="5D45C045" w14:textId="70FE1B54" w:rsidR="00D84868" w:rsidRPr="00A604C9" w:rsidRDefault="00D84868" w:rsidP="00AE2946">
            <w:pPr>
              <w:spacing w:after="0"/>
              <w:rPr>
                <w:rFonts w:eastAsia="Calibri" w:cs="Arial"/>
                <w:iCs/>
                <w:sz w:val="22"/>
              </w:rPr>
            </w:pPr>
            <w:r w:rsidRPr="00A604C9">
              <w:rPr>
                <w:rFonts w:cs="Arial"/>
                <w:bCs/>
                <w:iCs/>
                <w:sz w:val="22"/>
              </w:rPr>
              <w:t xml:space="preserve">Pilíř </w:t>
            </w:r>
            <w:r>
              <w:rPr>
                <w:rFonts w:cs="Arial"/>
                <w:bCs/>
                <w:iCs/>
                <w:sz w:val="22"/>
              </w:rPr>
              <w:t>G – Infrastruktura a veřejná správa</w:t>
            </w:r>
          </w:p>
        </w:tc>
      </w:tr>
      <w:tr w:rsidR="00D84868" w:rsidRPr="0017795C" w14:paraId="167A32A0" w14:textId="77777777" w:rsidTr="00AE2946">
        <w:trPr>
          <w:trHeight w:val="321"/>
        </w:trPr>
        <w:tc>
          <w:tcPr>
            <w:tcW w:w="2552"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610B85C0" w14:textId="77777777" w:rsidR="00D84868" w:rsidRPr="0017795C" w:rsidRDefault="00D84868" w:rsidP="00AE2946">
            <w:pPr>
              <w:spacing w:after="0" w:line="276" w:lineRule="auto"/>
              <w:rPr>
                <w:rFonts w:cs="Arial"/>
                <w:b/>
                <w:bCs/>
                <w:sz w:val="22"/>
              </w:rPr>
            </w:pPr>
            <w:r w:rsidRPr="0017795C">
              <w:rPr>
                <w:rFonts w:cs="Arial"/>
                <w:b/>
                <w:bCs/>
                <w:sz w:val="22"/>
              </w:rPr>
              <w:t>Strategický cíl/cíle</w:t>
            </w:r>
          </w:p>
        </w:tc>
        <w:tc>
          <w:tcPr>
            <w:tcW w:w="6799" w:type="dxa"/>
            <w:gridSpan w:val="3"/>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1216F9CF" w14:textId="108B88DF" w:rsidR="00D84868" w:rsidRPr="00A604C9" w:rsidRDefault="00D84868" w:rsidP="00AE2946">
            <w:pPr>
              <w:spacing w:after="0"/>
              <w:jc w:val="both"/>
              <w:rPr>
                <w:rFonts w:eastAsia="Times New Roman" w:cs="Arial"/>
                <w:bCs/>
                <w:iCs/>
                <w:color w:val="000000"/>
                <w:sz w:val="22"/>
                <w:lang w:eastAsia="cs-CZ"/>
              </w:rPr>
            </w:pPr>
            <w:r>
              <w:rPr>
                <w:rFonts w:cs="Arial"/>
                <w:bCs/>
                <w:iCs/>
                <w:sz w:val="22"/>
              </w:rPr>
              <w:t>G.1 Dopravě propojit území tam, kde dochází k signifikantní bariéře pro rozvoj a růst</w:t>
            </w:r>
            <w:r w:rsidRPr="00A604C9">
              <w:rPr>
                <w:rFonts w:cs="Arial"/>
                <w:bCs/>
                <w:iCs/>
                <w:sz w:val="22"/>
              </w:rPr>
              <w:t xml:space="preserve"> </w:t>
            </w:r>
          </w:p>
        </w:tc>
      </w:tr>
      <w:tr w:rsidR="00D84868" w:rsidRPr="0017795C" w14:paraId="06DE820C" w14:textId="77777777" w:rsidTr="00AE294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F4CEFB" w14:textId="77777777" w:rsidR="00D84868" w:rsidRPr="00911361" w:rsidRDefault="00D84868" w:rsidP="00AE2946">
            <w:pPr>
              <w:spacing w:after="0" w:line="276" w:lineRule="auto"/>
              <w:rPr>
                <w:rFonts w:cs="Arial"/>
                <w:b/>
                <w:bCs/>
                <w:sz w:val="22"/>
              </w:rPr>
            </w:pPr>
            <w:r w:rsidRPr="00911361">
              <w:rPr>
                <w:rFonts w:cs="Arial"/>
                <w:b/>
                <w:bCs/>
                <w:sz w:val="22"/>
              </w:rPr>
              <w:t xml:space="preserve">Oblast </w:t>
            </w:r>
            <w:r w:rsidRPr="00911361" w:rsidDel="009F7632">
              <w:rPr>
                <w:rFonts w:cs="Arial"/>
                <w:b/>
                <w:bCs/>
                <w:sz w:val="22"/>
              </w:rPr>
              <w:t xml:space="preserve">změn </w:t>
            </w:r>
            <w:r w:rsidRPr="00911361">
              <w:rPr>
                <w:rFonts w:cs="Arial"/>
                <w:b/>
                <w:bCs/>
                <w:sz w:val="22"/>
              </w:rPr>
              <w:t>– indikátory</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BDD8BA" w14:textId="77777777" w:rsidR="00D84868" w:rsidRPr="00911361" w:rsidRDefault="00D84868" w:rsidP="00D84868">
            <w:pPr>
              <w:pStyle w:val="Normlnweb"/>
              <w:jc w:val="both"/>
              <w:rPr>
                <w:rFonts w:ascii="Arial" w:hAnsi="Arial" w:cs="Arial"/>
                <w:sz w:val="22"/>
                <w:szCs w:val="22"/>
              </w:rPr>
            </w:pPr>
            <w:r w:rsidRPr="00911361">
              <w:rPr>
                <w:rFonts w:ascii="Arial" w:hAnsi="Arial" w:cs="Arial"/>
                <w:sz w:val="22"/>
                <w:szCs w:val="22"/>
              </w:rPr>
              <w:t xml:space="preserve">Indikátory v takovém případě ukazují, k čemu by měla vést realizace záměrů, které z definování daných úseků vyplynou. Výběr úseků se provádí pro ověření dopadů do území a jejich přínos pro hospodářský rozvoj regionu. </w:t>
            </w:r>
          </w:p>
          <w:p w14:paraId="29F3BE76" w14:textId="2A3024C0" w:rsidR="00D84868" w:rsidRPr="00911361" w:rsidRDefault="00D84868" w:rsidP="00D84868">
            <w:pPr>
              <w:spacing w:after="0"/>
              <w:rPr>
                <w:rFonts w:cs="Arial"/>
                <w:bCs/>
                <w:sz w:val="22"/>
              </w:rPr>
            </w:pPr>
            <w:r w:rsidRPr="00911361">
              <w:rPr>
                <w:rFonts w:cs="Arial"/>
                <w:sz w:val="22"/>
              </w:rPr>
              <w:t>Indikátory: délka vybudovaných úseků (km)</w:t>
            </w:r>
          </w:p>
        </w:tc>
      </w:tr>
      <w:tr w:rsidR="00D84868" w:rsidRPr="0017795C" w14:paraId="45D17ADE" w14:textId="77777777" w:rsidTr="00AE294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2FBD49" w14:textId="77777777" w:rsidR="00D84868" w:rsidRPr="0017795C" w:rsidRDefault="00D84868" w:rsidP="00AE2946">
            <w:pPr>
              <w:spacing w:after="0" w:line="276" w:lineRule="auto"/>
              <w:rPr>
                <w:rFonts w:cs="Arial"/>
                <w:b/>
                <w:bCs/>
                <w:i/>
                <w:sz w:val="22"/>
              </w:rPr>
            </w:pPr>
            <w:r w:rsidRPr="0017795C">
              <w:rPr>
                <w:rFonts w:cs="Arial"/>
                <w:b/>
                <w:bCs/>
                <w:sz w:val="22"/>
              </w:rPr>
              <w:t>Název opatření/programu</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7D5277" w14:textId="7375BBD2" w:rsidR="00D84868" w:rsidRPr="00A604C9" w:rsidRDefault="00D84868" w:rsidP="00AE2946">
            <w:pPr>
              <w:spacing w:after="0" w:line="276" w:lineRule="auto"/>
              <w:rPr>
                <w:rFonts w:cs="Arial"/>
                <w:b/>
                <w:bCs/>
                <w:iCs/>
                <w:sz w:val="22"/>
              </w:rPr>
            </w:pPr>
            <w:r>
              <w:rPr>
                <w:rFonts w:cs="Arial"/>
                <w:b/>
                <w:bCs/>
                <w:iCs/>
                <w:sz w:val="22"/>
              </w:rPr>
              <w:t>Dopravní napojení strategického významu ve strukturálně postižených regionech.</w:t>
            </w:r>
          </w:p>
        </w:tc>
      </w:tr>
      <w:tr w:rsidR="00D84868" w:rsidRPr="0017795C" w14:paraId="58786665" w14:textId="77777777" w:rsidTr="00AE2946">
        <w:trPr>
          <w:trHeight w:val="321"/>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63761C" w14:textId="77777777" w:rsidR="00D84868" w:rsidRPr="0017795C" w:rsidRDefault="00D84868" w:rsidP="00D84868">
            <w:pPr>
              <w:spacing w:after="0" w:line="276" w:lineRule="auto"/>
              <w:rPr>
                <w:rFonts w:cs="Arial"/>
                <w:b/>
                <w:bCs/>
                <w:sz w:val="22"/>
              </w:rPr>
            </w:pPr>
            <w:r w:rsidRPr="0017795C">
              <w:rPr>
                <w:rFonts w:cs="Arial"/>
                <w:b/>
                <w:bCs/>
                <w:sz w:val="22"/>
              </w:rPr>
              <w:t>Zdůvodnění a popis programu</w:t>
            </w:r>
          </w:p>
          <w:p w14:paraId="52B6D362" w14:textId="77777777" w:rsidR="00D84868" w:rsidRPr="0017795C" w:rsidRDefault="00D84868" w:rsidP="00D84868">
            <w:pPr>
              <w:spacing w:after="0" w:line="276" w:lineRule="auto"/>
              <w:rPr>
                <w:rFonts w:cs="Arial"/>
                <w:b/>
                <w:bCs/>
                <w:sz w:val="22"/>
                <w:shd w:val="pct15" w:color="auto" w:fill="FFFFFF"/>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F49765" w14:textId="77777777" w:rsidR="00D84868" w:rsidRPr="00D84868" w:rsidRDefault="00D84868" w:rsidP="00D84868">
            <w:pPr>
              <w:pStyle w:val="Default"/>
              <w:spacing w:line="276" w:lineRule="auto"/>
              <w:jc w:val="both"/>
              <w:rPr>
                <w:rFonts w:ascii="Arial" w:hAnsi="Arial" w:cs="Arial"/>
                <w:sz w:val="22"/>
                <w:szCs w:val="22"/>
              </w:rPr>
            </w:pPr>
            <w:r w:rsidRPr="00D84868">
              <w:rPr>
                <w:rFonts w:ascii="Arial" w:hAnsi="Arial" w:cs="Arial"/>
                <w:sz w:val="22"/>
                <w:szCs w:val="22"/>
              </w:rPr>
              <w:t>Významným ekonomickým centrům v krajích, převážně v největších a nejhustěji zalidněných sídlech s koncentrací významných produkčních funkcí a s průmyslovými zónami, hrozí ztráta konkurenceschopnosti a zaostávání v ekonomické výkonnosti, budou-li existovat významné bariéry zvyšující přepravní náklady nebo časovou náročnost dopravy.</w:t>
            </w:r>
          </w:p>
          <w:p w14:paraId="6460C459" w14:textId="77777777" w:rsidR="00D84868" w:rsidRPr="00D84868" w:rsidRDefault="00D84868" w:rsidP="00D84868">
            <w:pPr>
              <w:pStyle w:val="Default"/>
              <w:spacing w:line="276" w:lineRule="auto"/>
              <w:jc w:val="both"/>
              <w:rPr>
                <w:rFonts w:ascii="Arial" w:hAnsi="Arial" w:cs="Arial"/>
                <w:sz w:val="22"/>
                <w:szCs w:val="22"/>
              </w:rPr>
            </w:pPr>
            <w:r w:rsidRPr="00D84868">
              <w:rPr>
                <w:rFonts w:ascii="Arial" w:hAnsi="Arial" w:cs="Arial"/>
                <w:sz w:val="22"/>
                <w:szCs w:val="22"/>
              </w:rPr>
              <w:t>Podmínkou podpory v souladu s výše uvedeným cílem jsou prokazatelné přínosy v hospodářství krajů. Změna, která se má prostřednictvím intervencí dopravní infrastruktury v krajích dosáhnout, odstraní bariéry (kapacitní, rychlostní) v propojení krajů s významnými trhy a tím ovlivní pozitivně zkrácení přepravních časů a snížení nákladů na přepravu. Změny, kterých je žádoucí dosáhnout, musí mít reálný dopad na kritickou masu producentů a významně ovlivnit hospodářskou výkonnost ekonomiky krajů.</w:t>
            </w:r>
          </w:p>
          <w:p w14:paraId="6F596F2F" w14:textId="77777777" w:rsidR="00D84868" w:rsidRPr="00D84868" w:rsidRDefault="00D84868" w:rsidP="00D84868">
            <w:pPr>
              <w:pStyle w:val="Default"/>
              <w:spacing w:line="276" w:lineRule="auto"/>
              <w:jc w:val="both"/>
              <w:rPr>
                <w:rFonts w:ascii="Arial" w:hAnsi="Arial" w:cs="Arial"/>
                <w:sz w:val="22"/>
                <w:szCs w:val="22"/>
              </w:rPr>
            </w:pPr>
            <w:r w:rsidRPr="00D84868">
              <w:rPr>
                <w:rFonts w:ascii="Arial" w:hAnsi="Arial" w:cs="Arial"/>
                <w:sz w:val="22"/>
                <w:szCs w:val="22"/>
              </w:rPr>
              <w:t xml:space="preserve">Druhá oblast změn se soustřeďuje na propojení zejména periferních území s jádrovými oblastmi krajů s cílem snížit jejich znevýhodnění </w:t>
            </w:r>
            <w:r w:rsidRPr="00D84868">
              <w:rPr>
                <w:rFonts w:ascii="Arial" w:hAnsi="Arial" w:cs="Arial"/>
                <w:sz w:val="22"/>
                <w:szCs w:val="22"/>
              </w:rPr>
              <w:lastRenderedPageBreak/>
              <w:t>dané odlehlostí a periferní polohou a zlepšit podmínky pro konkrétní rozvojové záměry a soukromé investice v těchto oblastech v případech, kdy dopravní napojení představuje překážku rozvoje.</w:t>
            </w:r>
          </w:p>
          <w:p w14:paraId="156B8274" w14:textId="550B4AA5" w:rsidR="00D84868" w:rsidRPr="00D84868" w:rsidRDefault="00D84868" w:rsidP="00B221B0">
            <w:pPr>
              <w:spacing w:line="240" w:lineRule="auto"/>
              <w:jc w:val="both"/>
              <w:textAlignment w:val="baseline"/>
              <w:rPr>
                <w:rFonts w:eastAsia="Times New Roman" w:cs="Arial"/>
                <w:sz w:val="22"/>
                <w:lang w:eastAsia="cs-CZ"/>
              </w:rPr>
            </w:pPr>
            <w:r w:rsidRPr="00D84868">
              <w:rPr>
                <w:rFonts w:cs="Arial"/>
                <w:sz w:val="22"/>
              </w:rPr>
              <w:t>V některých případech budou investice směřovány do odstranění specifických úzkých hrdel dopravních komunikací a dopravních toků, např. do výstavby obchvatů, mostů. V případě obchvatů je nutné posoudit, zda stávající dopravní situace představuje zásadní dopravní brzdu pro pohyb zboží a lidí a zásadní zdroj prašnosti a hlučnosti v obydlených oblastech s výrazným dopadem na kvalitu života obyvatel.</w:t>
            </w:r>
          </w:p>
        </w:tc>
      </w:tr>
      <w:tr w:rsidR="00B221B0" w:rsidRPr="0017795C" w14:paraId="00937755" w14:textId="77777777" w:rsidTr="00AE2946">
        <w:trPr>
          <w:trHeight w:val="245"/>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FD0AC2" w14:textId="77777777" w:rsidR="00B221B0" w:rsidRPr="0017795C" w:rsidRDefault="00B221B0" w:rsidP="00B221B0">
            <w:pPr>
              <w:spacing w:after="0" w:line="276" w:lineRule="auto"/>
              <w:rPr>
                <w:rFonts w:cs="Arial"/>
                <w:b/>
                <w:bCs/>
                <w:sz w:val="22"/>
              </w:rPr>
            </w:pPr>
            <w:r w:rsidRPr="0017795C">
              <w:rPr>
                <w:rFonts w:cs="Arial"/>
                <w:b/>
                <w:bCs/>
                <w:sz w:val="22"/>
              </w:rPr>
              <w:lastRenderedPageBreak/>
              <w:t>Cíl programu/opatření</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9274B2" w14:textId="5F98EFAA" w:rsidR="00B221B0" w:rsidRPr="00B221B0" w:rsidRDefault="00B221B0" w:rsidP="00B221B0">
            <w:pPr>
              <w:spacing w:line="276" w:lineRule="auto"/>
              <w:jc w:val="both"/>
              <w:rPr>
                <w:rFonts w:cs="Arial"/>
                <w:iCs/>
                <w:sz w:val="22"/>
              </w:rPr>
            </w:pPr>
            <w:r w:rsidRPr="00B221B0">
              <w:rPr>
                <w:rFonts w:cs="Arial"/>
                <w:sz w:val="22"/>
              </w:rPr>
              <w:t xml:space="preserve">Cílem opatření je najít nástroje pro podporu strategického potenciálu daného území v rámci strukturálně postižených regionů formou napojení průmyslových zón, oblastí s potenciálem hospodářského růstu </w:t>
            </w:r>
            <w:r w:rsidRPr="00B221B0">
              <w:rPr>
                <w:rFonts w:eastAsiaTheme="minorEastAsia" w:cs="Arial"/>
                <w:bCs/>
                <w:sz w:val="22"/>
                <w:lang w:eastAsia="zh-TW"/>
              </w:rPr>
              <w:t>a dalších rozvojových ploch na komunikacích II. a III. tříd a jejich napojení na nadřazenou silniční síť ve správě jednotlivých krajů a provázaných investic posilující veřejnou infrastrukturu v místě realizované investice.</w:t>
            </w:r>
          </w:p>
        </w:tc>
      </w:tr>
      <w:tr w:rsidR="00D84868" w:rsidRPr="0017795C" w14:paraId="7DB70C2C" w14:textId="77777777" w:rsidTr="00AE2946">
        <w:trPr>
          <w:trHeight w:val="520"/>
        </w:trPr>
        <w:tc>
          <w:tcPr>
            <w:tcW w:w="255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55A0DE" w14:textId="77777777" w:rsidR="00D84868" w:rsidRPr="0017795C" w:rsidRDefault="00D84868" w:rsidP="00AE2946">
            <w:pPr>
              <w:spacing w:after="0" w:line="276" w:lineRule="auto"/>
              <w:rPr>
                <w:rFonts w:cs="Arial"/>
                <w:b/>
                <w:bCs/>
                <w:sz w:val="22"/>
              </w:rPr>
            </w:pPr>
            <w:r w:rsidRPr="0017795C">
              <w:rPr>
                <w:rFonts w:cs="Arial"/>
                <w:b/>
                <w:bCs/>
                <w:sz w:val="22"/>
              </w:rPr>
              <w:t>Provázanost, propojení s dalšími opatřeními</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FD6921" w14:textId="02963088" w:rsidR="00D84868" w:rsidRPr="00B221B0" w:rsidRDefault="00B221B0" w:rsidP="00AE2946">
            <w:pPr>
              <w:spacing w:after="0" w:line="240" w:lineRule="auto"/>
              <w:jc w:val="both"/>
              <w:rPr>
                <w:rFonts w:cs="Arial"/>
                <w:bCs/>
                <w:sz w:val="22"/>
              </w:rPr>
            </w:pPr>
            <w:r w:rsidRPr="00B221B0">
              <w:rPr>
                <w:rFonts w:cs="Arial"/>
                <w:sz w:val="22"/>
              </w:rPr>
              <w:t>Provázanost s opatřením II.G.1.3, II.A.2.1 a dalšími opatřeními v pilíři A, B a F zaměřenými na revitalizaci území a podporu podnikání.</w:t>
            </w:r>
          </w:p>
        </w:tc>
      </w:tr>
      <w:tr w:rsidR="00D84868" w:rsidRPr="0017795C" w14:paraId="23B09339" w14:textId="77777777" w:rsidTr="00AE2946">
        <w:trPr>
          <w:trHeight w:val="306"/>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5AF77B" w14:textId="77777777" w:rsidR="00D84868" w:rsidRPr="0017795C" w:rsidRDefault="00D84868" w:rsidP="00AE2946">
            <w:pPr>
              <w:spacing w:after="0" w:line="276" w:lineRule="auto"/>
              <w:rPr>
                <w:rFonts w:cs="Arial"/>
                <w:b/>
                <w:bCs/>
                <w:sz w:val="22"/>
              </w:rPr>
            </w:pPr>
            <w:r w:rsidRPr="0017795C">
              <w:rPr>
                <w:rFonts w:cs="Arial"/>
                <w:b/>
                <w:bCs/>
                <w:sz w:val="22"/>
              </w:rPr>
              <w:t>Předpoklad doby realizace opatření*</w:t>
            </w:r>
          </w:p>
        </w:tc>
        <w:tc>
          <w:tcPr>
            <w:tcW w:w="3331" w:type="dxa"/>
            <w:gridSpan w:val="2"/>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5217F" w14:textId="77777777" w:rsidR="00D84868" w:rsidRPr="00650141" w:rsidRDefault="00D84868" w:rsidP="00AE2946">
            <w:pPr>
              <w:spacing w:after="0" w:line="276" w:lineRule="auto"/>
              <w:rPr>
                <w:rFonts w:cs="Arial"/>
                <w:b/>
                <w:bCs/>
                <w:sz w:val="22"/>
              </w:rPr>
            </w:pPr>
            <w:r w:rsidRPr="00650141">
              <w:rPr>
                <w:rFonts w:cs="Arial"/>
                <w:b/>
                <w:bCs/>
                <w:sz w:val="22"/>
              </w:rPr>
              <w:t>Od</w:t>
            </w:r>
          </w:p>
        </w:tc>
        <w:tc>
          <w:tcPr>
            <w:tcW w:w="3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72C9B2" w14:textId="77777777" w:rsidR="00D84868" w:rsidRPr="00650141" w:rsidRDefault="00D84868" w:rsidP="00AE2946">
            <w:pPr>
              <w:spacing w:after="0" w:line="276" w:lineRule="auto"/>
              <w:rPr>
                <w:rFonts w:cs="Arial"/>
                <w:b/>
                <w:bCs/>
                <w:sz w:val="22"/>
              </w:rPr>
            </w:pPr>
            <w:r w:rsidRPr="00650141">
              <w:rPr>
                <w:rFonts w:cs="Arial"/>
                <w:b/>
                <w:bCs/>
                <w:sz w:val="22"/>
              </w:rPr>
              <w:t>Do</w:t>
            </w:r>
          </w:p>
        </w:tc>
      </w:tr>
      <w:tr w:rsidR="00D84868" w:rsidRPr="0017795C" w14:paraId="3EEDC105" w14:textId="77777777" w:rsidTr="00AE2946">
        <w:trPr>
          <w:trHeight w:val="306"/>
        </w:trPr>
        <w:tc>
          <w:tcPr>
            <w:tcW w:w="2552" w:type="dxa"/>
            <w:vMerge/>
            <w:tcMar>
              <w:left w:w="108" w:type="dxa"/>
            </w:tcMar>
          </w:tcPr>
          <w:p w14:paraId="480CB837" w14:textId="77777777" w:rsidR="00D84868" w:rsidRPr="0017795C" w:rsidRDefault="00D84868" w:rsidP="00AE2946">
            <w:pPr>
              <w:spacing w:after="0" w:line="276" w:lineRule="auto"/>
              <w:rPr>
                <w:rFonts w:cs="Arial"/>
                <w:b/>
                <w:bCs/>
                <w:sz w:val="22"/>
              </w:rPr>
            </w:pPr>
          </w:p>
        </w:tc>
        <w:tc>
          <w:tcPr>
            <w:tcW w:w="3331" w:type="dxa"/>
            <w:gridSpan w:val="2"/>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2B03ECE6" w14:textId="08393BE4" w:rsidR="00D84868" w:rsidRPr="00650141" w:rsidRDefault="00D84868" w:rsidP="00AE2946">
            <w:pPr>
              <w:spacing w:after="0" w:line="276" w:lineRule="auto"/>
              <w:rPr>
                <w:rFonts w:cs="Arial"/>
                <w:bCs/>
                <w:sz w:val="22"/>
              </w:rPr>
            </w:pPr>
            <w:r w:rsidRPr="00650141">
              <w:rPr>
                <w:rFonts w:cs="Arial"/>
                <w:bCs/>
                <w:sz w:val="22"/>
              </w:rPr>
              <w:t>20</w:t>
            </w:r>
            <w:r w:rsidR="00B221B0">
              <w:rPr>
                <w:rFonts w:cs="Arial"/>
                <w:bCs/>
                <w:sz w:val="22"/>
              </w:rPr>
              <w:t>19</w:t>
            </w:r>
          </w:p>
        </w:tc>
        <w:tc>
          <w:tcPr>
            <w:tcW w:w="3468"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50A40201" w14:textId="1B1427AD" w:rsidR="00D84868" w:rsidRPr="00650141" w:rsidRDefault="00D84868" w:rsidP="00AE2946">
            <w:pPr>
              <w:spacing w:after="0" w:line="276" w:lineRule="auto"/>
              <w:rPr>
                <w:rFonts w:cs="Arial"/>
                <w:bCs/>
                <w:sz w:val="22"/>
              </w:rPr>
            </w:pPr>
            <w:r w:rsidRPr="00B221B0">
              <w:rPr>
                <w:rFonts w:cs="Arial"/>
                <w:bCs/>
                <w:color w:val="FF0000"/>
                <w:sz w:val="22"/>
              </w:rPr>
              <w:t>20</w:t>
            </w:r>
            <w:r w:rsidR="00B221B0" w:rsidRPr="00B221B0">
              <w:rPr>
                <w:rFonts w:cs="Arial"/>
                <w:bCs/>
                <w:color w:val="FF0000"/>
                <w:sz w:val="22"/>
              </w:rPr>
              <w:t>30</w:t>
            </w:r>
          </w:p>
        </w:tc>
      </w:tr>
      <w:tr w:rsidR="00D84868" w:rsidRPr="0017795C" w14:paraId="5F470111" w14:textId="77777777" w:rsidTr="00AE2946">
        <w:trPr>
          <w:trHeight w:val="202"/>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12C2CB" w14:textId="77777777" w:rsidR="00D84868" w:rsidRPr="0017795C" w:rsidRDefault="00D84868" w:rsidP="00AE2946">
            <w:pPr>
              <w:spacing w:after="0" w:line="276" w:lineRule="auto"/>
              <w:rPr>
                <w:rFonts w:cs="Arial"/>
                <w:b/>
                <w:bCs/>
                <w:sz w:val="22"/>
              </w:rPr>
            </w:pPr>
            <w:r w:rsidRPr="0017795C">
              <w:rPr>
                <w:rFonts w:cs="Arial"/>
                <w:b/>
                <w:bCs/>
                <w:sz w:val="22"/>
              </w:rPr>
              <w:t xml:space="preserve">Odpovědnost za realizaci = nositel opatření/programu </w:t>
            </w: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C7C7C0" w14:textId="77777777" w:rsidR="00D84868" w:rsidRPr="0017795C" w:rsidRDefault="00D84868" w:rsidP="00AE2946">
            <w:pPr>
              <w:spacing w:after="0" w:line="276" w:lineRule="auto"/>
              <w:rPr>
                <w:rFonts w:cs="Arial"/>
                <w:b/>
                <w:bCs/>
                <w:sz w:val="22"/>
              </w:rPr>
            </w:pPr>
            <w:r w:rsidRPr="0017795C">
              <w:rPr>
                <w:rFonts w:cs="Arial"/>
                <w:b/>
                <w:bCs/>
                <w:sz w:val="22"/>
              </w:rPr>
              <w:t>Organizace</w:t>
            </w:r>
          </w:p>
        </w:tc>
      </w:tr>
      <w:tr w:rsidR="00B221B0" w:rsidRPr="0017795C" w14:paraId="65B8C561" w14:textId="77777777" w:rsidTr="00AE2946">
        <w:trPr>
          <w:trHeight w:val="429"/>
        </w:trPr>
        <w:tc>
          <w:tcPr>
            <w:tcW w:w="2552" w:type="dxa"/>
            <w:vMerge/>
            <w:tcMar>
              <w:left w:w="108" w:type="dxa"/>
            </w:tcMar>
          </w:tcPr>
          <w:p w14:paraId="4200CDBB" w14:textId="77777777" w:rsidR="00B221B0" w:rsidRPr="0017795C" w:rsidRDefault="00B221B0" w:rsidP="00B221B0">
            <w:pPr>
              <w:spacing w:after="0" w:line="276" w:lineRule="auto"/>
              <w:rPr>
                <w:rFonts w:cs="Arial"/>
                <w:bCs/>
                <w:sz w:val="22"/>
              </w:rPr>
            </w:pPr>
          </w:p>
        </w:tc>
        <w:tc>
          <w:tcPr>
            <w:tcW w:w="6799" w:type="dxa"/>
            <w:gridSpan w:val="3"/>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E14FA2" w14:textId="7FAF0F85" w:rsidR="00B221B0" w:rsidRPr="00911361" w:rsidRDefault="00B221B0" w:rsidP="00B221B0">
            <w:pPr>
              <w:spacing w:after="0" w:line="276" w:lineRule="auto"/>
              <w:rPr>
                <w:rFonts w:cs="Arial"/>
                <w:bCs/>
                <w:sz w:val="22"/>
              </w:rPr>
            </w:pPr>
            <w:r w:rsidRPr="00911361">
              <w:rPr>
                <w:rFonts w:cs="Arial"/>
                <w:bCs/>
                <w:sz w:val="22"/>
              </w:rPr>
              <w:t>Karlovarský, Moravskoslezský a Ústecký kraj, MD, MMR</w:t>
            </w:r>
          </w:p>
        </w:tc>
      </w:tr>
      <w:tr w:rsidR="00B221B0" w:rsidRPr="00CC5AD3" w14:paraId="7FF1C782" w14:textId="77777777" w:rsidTr="00B221B0">
        <w:trPr>
          <w:trHeight w:val="53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8F7AC" w14:textId="77777777" w:rsidR="00B221B0" w:rsidRPr="00650141" w:rsidRDefault="00B221B0" w:rsidP="00B221B0">
            <w:pPr>
              <w:spacing w:after="0" w:line="276" w:lineRule="auto"/>
              <w:rPr>
                <w:rFonts w:cs="Arial"/>
                <w:b/>
                <w:bCs/>
                <w:sz w:val="22"/>
              </w:rPr>
            </w:pPr>
            <w:r w:rsidRPr="00650141">
              <w:rPr>
                <w:rFonts w:cs="Arial"/>
                <w:b/>
                <w:bCs/>
                <w:sz w:val="22"/>
              </w:rPr>
              <w:t>Rozpočet (odhad)</w:t>
            </w:r>
          </w:p>
          <w:p w14:paraId="47C26EBB" w14:textId="77777777" w:rsidR="00B221B0" w:rsidRPr="00650141" w:rsidRDefault="00B221B0" w:rsidP="00B221B0">
            <w:pPr>
              <w:spacing w:after="0" w:line="276" w:lineRule="auto"/>
              <w:rPr>
                <w:rFonts w:cs="Arial"/>
                <w:bCs/>
                <w:sz w:val="22"/>
              </w:rPr>
            </w:pPr>
            <w:r w:rsidRPr="00650141">
              <w:rPr>
                <w:rFonts w:cs="Arial"/>
                <w:bCs/>
                <w:i/>
                <w:sz w:val="22"/>
              </w:rPr>
              <w:t>na realizaci nebo na přípravu v případě, kdy se opatření připravuje pro další akční plán</w:t>
            </w:r>
            <w:r w:rsidRPr="00650141">
              <w:rPr>
                <w:rFonts w:cs="Arial"/>
                <w:bCs/>
                <w:sz w:val="22"/>
              </w:rPr>
              <w:t> </w:t>
            </w:r>
          </w:p>
        </w:tc>
        <w:tc>
          <w:tcPr>
            <w:tcW w:w="2405"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091ECF7B" w14:textId="5823BCA7" w:rsidR="00B221B0" w:rsidRPr="00650141" w:rsidRDefault="00B221B0" w:rsidP="00B221B0">
            <w:pPr>
              <w:spacing w:after="0" w:line="276" w:lineRule="auto"/>
              <w:rPr>
                <w:rFonts w:cs="Arial"/>
                <w:b/>
                <w:sz w:val="22"/>
              </w:rPr>
            </w:pPr>
            <w:r w:rsidRPr="00650141">
              <w:rPr>
                <w:rFonts w:cs="Arial"/>
                <w:b/>
                <w:bCs/>
                <w:sz w:val="22"/>
              </w:rPr>
              <w:t>Objem (Kč</w:t>
            </w:r>
            <w:r>
              <w:rPr>
                <w:rFonts w:cs="Arial"/>
                <w:b/>
                <w:bCs/>
                <w:sz w:val="22"/>
              </w:rPr>
              <w:t xml:space="preserve">) </w:t>
            </w:r>
            <w:r w:rsidRPr="00B221B0">
              <w:rPr>
                <w:rFonts w:cs="Arial"/>
                <w:i/>
                <w:iCs/>
                <w:sz w:val="22"/>
              </w:rPr>
              <w:t>předpokládaný objem do 200 mil. Kč ročně</w:t>
            </w:r>
            <w:r w:rsidRPr="00650141">
              <w:rPr>
                <w:rFonts w:cs="Arial"/>
                <w:bCs/>
                <w:i/>
                <w:sz w:val="22"/>
              </w:rPr>
              <w:t xml:space="preserve"> </w:t>
            </w:r>
          </w:p>
        </w:tc>
        <w:tc>
          <w:tcPr>
            <w:tcW w:w="4394" w:type="dxa"/>
            <w:gridSpan w:val="2"/>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7E0A6976" w14:textId="77777777" w:rsidR="00B221B0" w:rsidRPr="00650141" w:rsidRDefault="00B221B0" w:rsidP="00B221B0">
            <w:pPr>
              <w:spacing w:after="0" w:line="276" w:lineRule="auto"/>
              <w:rPr>
                <w:rFonts w:cs="Arial"/>
                <w:b/>
                <w:bCs/>
                <w:sz w:val="22"/>
              </w:rPr>
            </w:pPr>
            <w:r w:rsidRPr="00650141">
              <w:rPr>
                <w:rFonts w:cs="Arial"/>
                <w:b/>
                <w:bCs/>
                <w:sz w:val="22"/>
              </w:rPr>
              <w:t xml:space="preserve">Předpokládané zdroje financování </w:t>
            </w:r>
          </w:p>
          <w:p w14:paraId="707CD484" w14:textId="77777777" w:rsidR="00B221B0" w:rsidRPr="00650141" w:rsidRDefault="00B221B0" w:rsidP="00B221B0">
            <w:pPr>
              <w:spacing w:after="0" w:line="276" w:lineRule="auto"/>
              <w:jc w:val="both"/>
              <w:rPr>
                <w:rFonts w:cs="Arial"/>
                <w:bCs/>
                <w:i/>
                <w:sz w:val="22"/>
              </w:rPr>
            </w:pPr>
          </w:p>
        </w:tc>
      </w:tr>
      <w:tr w:rsidR="00B221B0" w:rsidRPr="0017795C" w14:paraId="1465590F" w14:textId="77777777" w:rsidTr="00B221B0">
        <w:trPr>
          <w:trHeight w:val="495"/>
        </w:trPr>
        <w:tc>
          <w:tcPr>
            <w:tcW w:w="2552" w:type="dxa"/>
            <w:vMerge/>
            <w:tcMar>
              <w:left w:w="108" w:type="dxa"/>
            </w:tcMar>
          </w:tcPr>
          <w:p w14:paraId="797FB44B" w14:textId="77777777" w:rsidR="00B221B0" w:rsidRPr="00650141" w:rsidRDefault="00B221B0" w:rsidP="00B221B0">
            <w:pPr>
              <w:spacing w:after="0" w:line="276" w:lineRule="auto"/>
              <w:rPr>
                <w:rFonts w:cs="Arial"/>
                <w:bCs/>
                <w:sz w:val="22"/>
              </w:rPr>
            </w:pPr>
          </w:p>
        </w:tc>
        <w:tc>
          <w:tcPr>
            <w:tcW w:w="2405"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33349B01" w14:textId="6D223C40" w:rsidR="00B221B0" w:rsidRPr="00650141" w:rsidRDefault="00B221B0" w:rsidP="00B221B0">
            <w:pPr>
              <w:spacing w:after="0" w:line="276" w:lineRule="auto"/>
              <w:rPr>
                <w:rFonts w:cs="Arial"/>
                <w:bCs/>
                <w:sz w:val="22"/>
              </w:rPr>
            </w:pPr>
          </w:p>
        </w:tc>
        <w:tc>
          <w:tcPr>
            <w:tcW w:w="4394" w:type="dxa"/>
            <w:gridSpan w:val="2"/>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3CC2B34D" w14:textId="6E092F0D" w:rsidR="00B221B0" w:rsidRPr="00650141" w:rsidRDefault="00B221B0" w:rsidP="00B221B0">
            <w:pPr>
              <w:spacing w:after="0" w:line="276" w:lineRule="auto"/>
              <w:rPr>
                <w:rFonts w:cs="Arial"/>
                <w:bCs/>
                <w:sz w:val="22"/>
              </w:rPr>
            </w:pPr>
          </w:p>
        </w:tc>
      </w:tr>
      <w:tr w:rsidR="00B221B0" w:rsidRPr="0017795C" w14:paraId="1C64A6BE" w14:textId="77777777" w:rsidTr="00B221B0">
        <w:trPr>
          <w:trHeight w:val="780"/>
        </w:trPr>
        <w:tc>
          <w:tcPr>
            <w:tcW w:w="2552" w:type="dxa"/>
            <w:vMerge w:val="restart"/>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163DE3" w14:textId="77777777" w:rsidR="00B221B0" w:rsidRPr="00650141" w:rsidRDefault="00B221B0" w:rsidP="00B221B0">
            <w:pPr>
              <w:spacing w:after="0" w:line="276" w:lineRule="auto"/>
              <w:rPr>
                <w:rFonts w:cs="Arial"/>
                <w:b/>
                <w:bCs/>
                <w:sz w:val="22"/>
              </w:rPr>
            </w:pPr>
            <w:r w:rsidRPr="00650141">
              <w:rPr>
                <w:rFonts w:cs="Arial"/>
                <w:b/>
                <w:bCs/>
                <w:sz w:val="22"/>
              </w:rPr>
              <w:t xml:space="preserve">Příprava programu/opatření </w:t>
            </w:r>
          </w:p>
          <w:p w14:paraId="6350F219" w14:textId="1B4C3A4B" w:rsidR="00B221B0" w:rsidRPr="00650141" w:rsidRDefault="00B221B0" w:rsidP="00B221B0">
            <w:pPr>
              <w:spacing w:after="0" w:line="276" w:lineRule="auto"/>
              <w:rPr>
                <w:rFonts w:cs="Arial"/>
                <w:sz w:val="22"/>
              </w:rPr>
            </w:pPr>
            <w:r w:rsidRPr="00650141">
              <w:rPr>
                <w:rFonts w:cs="Arial"/>
                <w:b/>
                <w:bCs/>
                <w:sz w:val="22"/>
              </w:rPr>
              <w:t>nebo objem prostředků na realizaci pro rok 202</w:t>
            </w:r>
            <w:r>
              <w:rPr>
                <w:rFonts w:cs="Arial"/>
                <w:b/>
                <w:bCs/>
                <w:sz w:val="22"/>
              </w:rPr>
              <w:t>5</w:t>
            </w:r>
            <w:r w:rsidRPr="00650141">
              <w:rPr>
                <w:rFonts w:cs="Arial"/>
                <w:b/>
                <w:bCs/>
                <w:sz w:val="22"/>
              </w:rPr>
              <w:t>+</w:t>
            </w:r>
          </w:p>
        </w:tc>
        <w:tc>
          <w:tcPr>
            <w:tcW w:w="2405" w:type="dxa"/>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3364919C" w14:textId="653C893A" w:rsidR="00B221B0" w:rsidRPr="00650141" w:rsidRDefault="00B221B0" w:rsidP="00B221B0">
            <w:pPr>
              <w:spacing w:after="0" w:line="276" w:lineRule="auto"/>
              <w:rPr>
                <w:rFonts w:cs="Arial"/>
                <w:b/>
                <w:bCs/>
                <w:sz w:val="22"/>
              </w:rPr>
            </w:pPr>
            <w:r w:rsidRPr="00650141">
              <w:rPr>
                <w:rFonts w:cs="Arial"/>
                <w:b/>
                <w:bCs/>
                <w:sz w:val="22"/>
              </w:rPr>
              <w:t>202</w:t>
            </w:r>
            <w:r>
              <w:rPr>
                <w:rFonts w:cs="Arial"/>
                <w:b/>
                <w:bCs/>
                <w:sz w:val="22"/>
              </w:rPr>
              <w:t>5</w:t>
            </w:r>
          </w:p>
        </w:tc>
        <w:tc>
          <w:tcPr>
            <w:tcW w:w="4394" w:type="dxa"/>
            <w:gridSpan w:val="2"/>
            <w:tcBorders>
              <w:top w:val="single" w:sz="18" w:space="0" w:color="auto"/>
              <w:left w:val="single" w:sz="4" w:space="0" w:color="000001"/>
              <w:bottom w:val="single" w:sz="4" w:space="0" w:color="000001"/>
              <w:right w:val="single" w:sz="4" w:space="0" w:color="000001"/>
            </w:tcBorders>
            <w:shd w:val="clear" w:color="auto" w:fill="auto"/>
            <w:tcMar>
              <w:left w:w="108" w:type="dxa"/>
            </w:tcMar>
          </w:tcPr>
          <w:p w14:paraId="3432D00F" w14:textId="77777777" w:rsidR="00B221B0" w:rsidRPr="00650141" w:rsidRDefault="00B221B0" w:rsidP="00B221B0">
            <w:pPr>
              <w:spacing w:after="0" w:line="276" w:lineRule="auto"/>
              <w:rPr>
                <w:rFonts w:cs="Arial"/>
                <w:bCs/>
                <w:sz w:val="22"/>
              </w:rPr>
            </w:pPr>
          </w:p>
        </w:tc>
      </w:tr>
      <w:tr w:rsidR="00B221B0" w:rsidRPr="0017795C" w14:paraId="2B82AF91" w14:textId="77777777" w:rsidTr="00B221B0">
        <w:trPr>
          <w:trHeight w:val="508"/>
        </w:trPr>
        <w:tc>
          <w:tcPr>
            <w:tcW w:w="2552" w:type="dxa"/>
            <w:vMerge/>
            <w:tcMar>
              <w:left w:w="108" w:type="dxa"/>
            </w:tcMar>
          </w:tcPr>
          <w:p w14:paraId="5C5D91F3" w14:textId="77777777" w:rsidR="00B221B0" w:rsidRPr="00650141" w:rsidRDefault="00B221B0" w:rsidP="00B221B0">
            <w:pPr>
              <w:spacing w:after="0" w:line="276" w:lineRule="auto"/>
              <w:rPr>
                <w:rFonts w:cs="Arial"/>
                <w:bCs/>
                <w:sz w:val="22"/>
              </w:rPr>
            </w:pPr>
          </w:p>
        </w:tc>
        <w:tc>
          <w:tcPr>
            <w:tcW w:w="2405"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0CB509B2" w14:textId="7279D664" w:rsidR="00B221B0" w:rsidRPr="00650141" w:rsidRDefault="00B221B0" w:rsidP="00B221B0">
            <w:pPr>
              <w:spacing w:after="0" w:line="276" w:lineRule="auto"/>
              <w:rPr>
                <w:rFonts w:cs="Arial"/>
                <w:bCs/>
                <w:sz w:val="22"/>
              </w:rPr>
            </w:pPr>
            <w:r w:rsidRPr="00650141">
              <w:rPr>
                <w:rFonts w:cs="Arial"/>
                <w:bCs/>
                <w:sz w:val="22"/>
              </w:rPr>
              <w:t>202</w:t>
            </w:r>
            <w:r>
              <w:rPr>
                <w:rFonts w:cs="Arial"/>
                <w:bCs/>
                <w:sz w:val="22"/>
              </w:rPr>
              <w:t>6+</w:t>
            </w:r>
          </w:p>
        </w:tc>
        <w:tc>
          <w:tcPr>
            <w:tcW w:w="4394" w:type="dxa"/>
            <w:gridSpan w:val="2"/>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1841B327" w14:textId="56650857" w:rsidR="00B221B0" w:rsidRPr="00650141" w:rsidRDefault="00B221B0" w:rsidP="00B221B0">
            <w:pPr>
              <w:spacing w:after="0" w:line="276" w:lineRule="auto"/>
              <w:rPr>
                <w:rFonts w:cs="Arial"/>
                <w:bCs/>
                <w:sz w:val="22"/>
              </w:rPr>
            </w:pPr>
          </w:p>
        </w:tc>
      </w:tr>
      <w:tr w:rsidR="00B221B0" w:rsidRPr="0017795C" w14:paraId="455AEF17" w14:textId="77777777" w:rsidTr="00AE2946">
        <w:trPr>
          <w:trHeight w:val="912"/>
        </w:trPr>
        <w:tc>
          <w:tcPr>
            <w:tcW w:w="2552" w:type="dxa"/>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4F9623B1" w14:textId="77777777" w:rsidR="00B221B0" w:rsidRPr="0017795C" w:rsidRDefault="00B221B0" w:rsidP="00B221B0">
            <w:pPr>
              <w:spacing w:after="0" w:line="276" w:lineRule="auto"/>
              <w:rPr>
                <w:rFonts w:cs="Arial"/>
                <w:bCs/>
                <w:sz w:val="22"/>
              </w:rPr>
            </w:pPr>
            <w:r w:rsidRPr="0017795C">
              <w:rPr>
                <w:rFonts w:cs="Arial"/>
                <w:b/>
                <w:bCs/>
                <w:sz w:val="22"/>
              </w:rPr>
              <w:t>Provozní náklady (odhad)</w:t>
            </w:r>
            <w:r w:rsidRPr="0017795C">
              <w:rPr>
                <w:rFonts w:cs="Arial"/>
                <w:bCs/>
                <w:sz w:val="22"/>
              </w:rPr>
              <w:t xml:space="preserve"> </w:t>
            </w:r>
            <w:r w:rsidRPr="0017795C">
              <w:rPr>
                <w:rFonts w:cs="Arial"/>
                <w:bCs/>
                <w:i/>
                <w:sz w:val="22"/>
              </w:rPr>
              <w:t>na rok – zvláště v případě konkrétních opatření infrastruktury</w:t>
            </w:r>
          </w:p>
        </w:tc>
        <w:tc>
          <w:tcPr>
            <w:tcW w:w="6799" w:type="dxa"/>
            <w:gridSpan w:val="3"/>
            <w:tcBorders>
              <w:top w:val="single" w:sz="4" w:space="0" w:color="000001"/>
              <w:left w:val="single" w:sz="4" w:space="0" w:color="000001"/>
              <w:bottom w:val="single" w:sz="18" w:space="0" w:color="auto"/>
              <w:right w:val="single" w:sz="4" w:space="0" w:color="000001"/>
            </w:tcBorders>
            <w:shd w:val="clear" w:color="auto" w:fill="auto"/>
            <w:tcMar>
              <w:left w:w="108" w:type="dxa"/>
            </w:tcMar>
          </w:tcPr>
          <w:p w14:paraId="4DE42B38" w14:textId="7CFDDB2D" w:rsidR="00B221B0" w:rsidRPr="0017795C" w:rsidRDefault="00B221B0" w:rsidP="00B221B0">
            <w:pPr>
              <w:spacing w:after="0" w:line="276" w:lineRule="auto"/>
              <w:rPr>
                <w:rFonts w:cs="Arial"/>
                <w:bCs/>
                <w:sz w:val="22"/>
              </w:rPr>
            </w:pPr>
          </w:p>
        </w:tc>
      </w:tr>
    </w:tbl>
    <w:p w14:paraId="7F126311" w14:textId="77777777" w:rsidR="009E4879" w:rsidRPr="0017795C" w:rsidRDefault="009E4879" w:rsidP="009E4879">
      <w:pPr>
        <w:pStyle w:val="Nadpis1"/>
        <w:jc w:val="center"/>
        <w:rPr>
          <w:rFonts w:cs="Arial"/>
        </w:rPr>
        <w:sectPr w:rsidR="009E4879" w:rsidRPr="0017795C" w:rsidSect="00096AD3">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cols w:space="708"/>
          <w:titlePg/>
          <w:docGrid w:linePitch="360"/>
        </w:sectPr>
      </w:pPr>
    </w:p>
    <w:p w14:paraId="1FC8E743" w14:textId="7B8B5B73" w:rsidR="00CB4A00" w:rsidRPr="0017795C" w:rsidRDefault="00CB4A00" w:rsidP="000264FB">
      <w:pPr>
        <w:pStyle w:val="Nadpis1"/>
        <w:numPr>
          <w:ilvl w:val="0"/>
          <w:numId w:val="0"/>
        </w:numPr>
        <w:jc w:val="center"/>
        <w:rPr>
          <w:rFonts w:cs="Arial"/>
        </w:rPr>
      </w:pPr>
      <w:bookmarkStart w:id="77" w:name="_Toc115435286"/>
      <w:bookmarkStart w:id="78" w:name="_Toc175743071"/>
      <w:r w:rsidRPr="0017795C">
        <w:rPr>
          <w:rFonts w:cs="Arial"/>
        </w:rPr>
        <w:lastRenderedPageBreak/>
        <w:t xml:space="preserve">Příloha </w:t>
      </w:r>
      <w:r w:rsidR="000264FB">
        <w:rPr>
          <w:rFonts w:cs="Arial"/>
        </w:rPr>
        <w:t>D</w:t>
      </w:r>
      <w:r w:rsidR="00B70D42">
        <w:rPr>
          <w:rFonts w:cs="Arial"/>
        </w:rPr>
        <w:t>:</w:t>
      </w:r>
      <w:r w:rsidRPr="0017795C">
        <w:rPr>
          <w:rFonts w:cs="Arial"/>
        </w:rPr>
        <w:t xml:space="preserve"> </w:t>
      </w:r>
      <w:r>
        <w:rPr>
          <w:rFonts w:cs="Arial"/>
        </w:rPr>
        <w:t>Hlavní rozvojové projekty</w:t>
      </w:r>
      <w:r w:rsidRPr="0017795C">
        <w:rPr>
          <w:rFonts w:cs="Arial"/>
        </w:rPr>
        <w:t xml:space="preserve"> a podpůrné projekty krajů</w:t>
      </w:r>
      <w:bookmarkEnd w:id="77"/>
      <w:bookmarkEnd w:id="78"/>
    </w:p>
    <w:p w14:paraId="795CBB9F" w14:textId="77777777" w:rsidR="00CB4A00" w:rsidRPr="0017795C" w:rsidRDefault="00CB4A00" w:rsidP="000264FB">
      <w:pPr>
        <w:pStyle w:val="Nadpis2"/>
        <w:numPr>
          <w:ilvl w:val="0"/>
          <w:numId w:val="0"/>
        </w:numPr>
        <w:ind w:left="576" w:hanging="576"/>
        <w:rPr>
          <w:rFonts w:eastAsia="Times New Roman" w:cs="Arial"/>
          <w:lang w:eastAsia="cs-CZ"/>
        </w:rPr>
      </w:pPr>
      <w:bookmarkStart w:id="79" w:name="_Toc63804173"/>
      <w:bookmarkStart w:id="80" w:name="_Toc115435287"/>
      <w:bookmarkStart w:id="81" w:name="_Toc175743072"/>
      <w:r>
        <w:rPr>
          <w:rFonts w:eastAsia="Times New Roman" w:cs="Arial"/>
          <w:lang w:eastAsia="cs-CZ"/>
        </w:rPr>
        <w:t>Ú</w:t>
      </w:r>
      <w:r w:rsidRPr="0017795C">
        <w:rPr>
          <w:rFonts w:eastAsia="Times New Roman" w:cs="Arial"/>
          <w:lang w:eastAsia="cs-CZ"/>
        </w:rPr>
        <w:t>stecký kraj</w:t>
      </w:r>
      <w:bookmarkEnd w:id="79"/>
      <w:bookmarkEnd w:id="80"/>
      <w:bookmarkEnd w:id="81"/>
    </w:p>
    <w:tbl>
      <w:tblPr>
        <w:tblStyle w:val="Mkatabulky"/>
        <w:tblW w:w="14039" w:type="dxa"/>
        <w:jc w:val="center"/>
        <w:tblLayout w:type="fixed"/>
        <w:tblLook w:val="04A0" w:firstRow="1" w:lastRow="0" w:firstColumn="1" w:lastColumn="0" w:noHBand="0" w:noVBand="1"/>
      </w:tblPr>
      <w:tblGrid>
        <w:gridCol w:w="2547"/>
        <w:gridCol w:w="1001"/>
        <w:gridCol w:w="1686"/>
        <w:gridCol w:w="6"/>
        <w:gridCol w:w="2740"/>
        <w:gridCol w:w="8"/>
        <w:gridCol w:w="2163"/>
        <w:gridCol w:w="2406"/>
        <w:gridCol w:w="1482"/>
      </w:tblGrid>
      <w:tr w:rsidR="00CB4A00" w14:paraId="15FAA5A6" w14:textId="77777777" w:rsidTr="00C66961">
        <w:trPr>
          <w:tblHeader/>
          <w:jc w:val="center"/>
        </w:trPr>
        <w:tc>
          <w:tcPr>
            <w:tcW w:w="2547" w:type="dxa"/>
            <w:shd w:val="clear" w:color="auto" w:fill="FFC000"/>
            <w:vAlign w:val="center"/>
          </w:tcPr>
          <w:p w14:paraId="7596AB22"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Popis projektu</w:t>
            </w:r>
          </w:p>
        </w:tc>
        <w:tc>
          <w:tcPr>
            <w:tcW w:w="1001" w:type="dxa"/>
            <w:shd w:val="clear" w:color="auto" w:fill="FFC000"/>
            <w:vAlign w:val="center"/>
          </w:tcPr>
          <w:p w14:paraId="3030389B"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Finanční náklady </w:t>
            </w:r>
          </w:p>
        </w:tc>
        <w:tc>
          <w:tcPr>
            <w:tcW w:w="1686" w:type="dxa"/>
            <w:shd w:val="clear" w:color="auto" w:fill="FFC000"/>
            <w:vAlign w:val="center"/>
          </w:tcPr>
          <w:p w14:paraId="44F85286"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Předpokládaný zdroj </w:t>
            </w:r>
            <w:r>
              <w:rPr>
                <w:rStyle w:val="Znakapoznpodarou"/>
                <w:rFonts w:cs="Arial"/>
                <w:b/>
                <w:bCs/>
                <w:sz w:val="18"/>
                <w:szCs w:val="18"/>
                <w:lang w:eastAsia="cs-CZ"/>
              </w:rPr>
              <w:footnoteReference w:id="3"/>
            </w:r>
            <w:r w:rsidRPr="0003524B">
              <w:rPr>
                <w:rFonts w:cs="Arial"/>
                <w:b/>
                <w:bCs/>
                <w:sz w:val="18"/>
                <w:szCs w:val="18"/>
                <w:lang w:eastAsia="cs-CZ"/>
              </w:rPr>
              <w:t>financování</w:t>
            </w:r>
          </w:p>
        </w:tc>
        <w:tc>
          <w:tcPr>
            <w:tcW w:w="2746" w:type="dxa"/>
            <w:gridSpan w:val="2"/>
            <w:shd w:val="clear" w:color="auto" w:fill="FFC000"/>
            <w:vAlign w:val="center"/>
          </w:tcPr>
          <w:p w14:paraId="0582ABB6"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Přímé nebo nepřímé hospodářské dopady</w:t>
            </w:r>
          </w:p>
        </w:tc>
        <w:tc>
          <w:tcPr>
            <w:tcW w:w="2171" w:type="dxa"/>
            <w:gridSpan w:val="2"/>
            <w:shd w:val="clear" w:color="auto" w:fill="FFC000"/>
            <w:vAlign w:val="center"/>
          </w:tcPr>
          <w:p w14:paraId="01020E1B"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Přímé dopady na restrukturalizaci kraje</w:t>
            </w:r>
          </w:p>
        </w:tc>
        <w:tc>
          <w:tcPr>
            <w:tcW w:w="2406" w:type="dxa"/>
            <w:shd w:val="clear" w:color="auto" w:fill="FFC000"/>
            <w:vAlign w:val="center"/>
          </w:tcPr>
          <w:p w14:paraId="46E3E2FF"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Dopady na významnou část území</w:t>
            </w:r>
          </w:p>
        </w:tc>
        <w:tc>
          <w:tcPr>
            <w:tcW w:w="1482" w:type="dxa"/>
            <w:shd w:val="clear" w:color="auto" w:fill="FFC000"/>
            <w:vAlign w:val="center"/>
          </w:tcPr>
          <w:p w14:paraId="2F882B87"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Vazba na SP OPST</w:t>
            </w:r>
          </w:p>
        </w:tc>
      </w:tr>
      <w:tr w:rsidR="00CB4A00" w14:paraId="75D50C17" w14:textId="77777777" w:rsidTr="00C66961">
        <w:trPr>
          <w:trHeight w:val="340"/>
          <w:jc w:val="center"/>
        </w:trPr>
        <w:tc>
          <w:tcPr>
            <w:tcW w:w="14039" w:type="dxa"/>
            <w:gridSpan w:val="9"/>
            <w:shd w:val="clear" w:color="auto" w:fill="D0CECE" w:themeFill="background2" w:themeFillShade="E6"/>
            <w:vAlign w:val="center"/>
          </w:tcPr>
          <w:p w14:paraId="4BB18F58"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Hlavní rozvojové projekty – Ústecký kraj</w:t>
            </w:r>
          </w:p>
        </w:tc>
      </w:tr>
      <w:tr w:rsidR="00CB4A00" w14:paraId="22414040" w14:textId="77777777" w:rsidTr="00C66961">
        <w:trPr>
          <w:jc w:val="center"/>
        </w:trPr>
        <w:tc>
          <w:tcPr>
            <w:tcW w:w="14039" w:type="dxa"/>
            <w:gridSpan w:val="9"/>
            <w:shd w:val="clear" w:color="auto" w:fill="E2EFD9" w:themeFill="accent6" w:themeFillTint="33"/>
            <w:vAlign w:val="center"/>
          </w:tcPr>
          <w:p w14:paraId="093DC87E" w14:textId="77777777" w:rsidR="00CB4A00" w:rsidRPr="00760BED" w:rsidRDefault="00CB4A00" w:rsidP="002E4092">
            <w:pPr>
              <w:pStyle w:val="Odstavecseseznamem"/>
              <w:numPr>
                <w:ilvl w:val="0"/>
                <w:numId w:val="7"/>
              </w:numPr>
              <w:jc w:val="center"/>
              <w:rPr>
                <w:rFonts w:cs="Arial"/>
                <w:b/>
                <w:bCs/>
                <w:sz w:val="18"/>
                <w:szCs w:val="18"/>
                <w:lang w:eastAsia="cs-CZ"/>
              </w:rPr>
            </w:pPr>
            <w:r w:rsidRPr="00760BED">
              <w:rPr>
                <w:rFonts w:cs="Arial"/>
                <w:b/>
                <w:bCs/>
                <w:sz w:val="18"/>
                <w:szCs w:val="18"/>
                <w:lang w:eastAsia="cs-CZ"/>
              </w:rPr>
              <w:t>Systematická stabilizace a revitalizace vodních ploch, vzniklých ve zbytkových jámách po těžbě uhlí a navazujícího území</w:t>
            </w:r>
          </w:p>
        </w:tc>
      </w:tr>
      <w:tr w:rsidR="00CB4A00" w14:paraId="3378AAD8" w14:textId="77777777" w:rsidTr="00C66961">
        <w:trPr>
          <w:jc w:val="center"/>
        </w:trPr>
        <w:tc>
          <w:tcPr>
            <w:tcW w:w="2547" w:type="dxa"/>
            <w:tcBorders>
              <w:bottom w:val="single" w:sz="4" w:space="0" w:color="auto"/>
            </w:tcBorders>
          </w:tcPr>
          <w:p w14:paraId="3C4A8CC0" w14:textId="77777777" w:rsidR="00CB4A00" w:rsidRDefault="00CB4A00" w:rsidP="00C66961">
            <w:pPr>
              <w:jc w:val="both"/>
              <w:rPr>
                <w:rFonts w:cs="Arial"/>
                <w:sz w:val="18"/>
                <w:szCs w:val="18"/>
                <w:lang w:eastAsia="cs-CZ"/>
              </w:rPr>
            </w:pPr>
            <w:r w:rsidRPr="00760BED">
              <w:rPr>
                <w:rFonts w:cs="Arial"/>
                <w:sz w:val="18"/>
                <w:szCs w:val="18"/>
                <w:lang w:eastAsia="cs-CZ"/>
              </w:rPr>
              <w:t>V regionu je nezbytné nejen zahlazovat škody vzniklé těžbou a průmyslovou činností, ale je také nezbytné zajistit návrat těchto území zpět do života jejich revitalizací a resocializací. A to s důrazem na potřebu zlepšení vodohospodářské bilance regionu i České republiky a využití energetického potenciálu tohoto specifického území.</w:t>
            </w:r>
          </w:p>
        </w:tc>
        <w:tc>
          <w:tcPr>
            <w:tcW w:w="1001" w:type="dxa"/>
            <w:tcBorders>
              <w:bottom w:val="single" w:sz="4" w:space="0" w:color="auto"/>
            </w:tcBorders>
          </w:tcPr>
          <w:p w14:paraId="13066FC1" w14:textId="77777777" w:rsidR="00CB4A00" w:rsidRDefault="00CB4A00" w:rsidP="00C66961">
            <w:pPr>
              <w:rPr>
                <w:rFonts w:cs="Arial"/>
                <w:sz w:val="18"/>
                <w:szCs w:val="18"/>
                <w:lang w:eastAsia="cs-CZ"/>
              </w:rPr>
            </w:pPr>
            <w:r w:rsidRPr="00760BED">
              <w:rPr>
                <w:rFonts w:cs="Arial"/>
                <w:sz w:val="18"/>
                <w:szCs w:val="18"/>
                <w:lang w:eastAsia="cs-CZ"/>
              </w:rPr>
              <w:t>4 289 mil. Kč</w:t>
            </w:r>
          </w:p>
        </w:tc>
        <w:tc>
          <w:tcPr>
            <w:tcW w:w="1692" w:type="dxa"/>
            <w:gridSpan w:val="2"/>
            <w:tcBorders>
              <w:bottom w:val="single" w:sz="4" w:space="0" w:color="auto"/>
            </w:tcBorders>
          </w:tcPr>
          <w:p w14:paraId="78F9F5F5" w14:textId="77777777" w:rsidR="00CB4A00" w:rsidRPr="00760BED" w:rsidRDefault="00CB4A00" w:rsidP="00C66961">
            <w:pPr>
              <w:rPr>
                <w:rFonts w:cs="Arial"/>
                <w:sz w:val="18"/>
                <w:szCs w:val="18"/>
                <w:lang w:eastAsia="cs-CZ"/>
              </w:rPr>
            </w:pPr>
            <w:r w:rsidRPr="00760BED">
              <w:rPr>
                <w:rFonts w:cs="Arial"/>
                <w:sz w:val="18"/>
                <w:szCs w:val="18"/>
                <w:lang w:eastAsia="cs-CZ"/>
              </w:rPr>
              <w:t>EU fondy 2021+</w:t>
            </w:r>
          </w:p>
          <w:p w14:paraId="285DB6B6" w14:textId="77777777" w:rsidR="00CB4A00" w:rsidRDefault="00CB4A00" w:rsidP="00C66961">
            <w:pPr>
              <w:rPr>
                <w:rFonts w:cs="Arial"/>
                <w:sz w:val="18"/>
                <w:szCs w:val="18"/>
                <w:lang w:eastAsia="cs-CZ"/>
              </w:rPr>
            </w:pPr>
            <w:r w:rsidRPr="00760BED">
              <w:rPr>
                <w:rFonts w:cs="Arial"/>
                <w:sz w:val="18"/>
                <w:szCs w:val="18"/>
                <w:lang w:eastAsia="cs-CZ"/>
              </w:rPr>
              <w:t>Národní dotační tituly, OP ST (tematická výzva)</w:t>
            </w:r>
          </w:p>
        </w:tc>
        <w:tc>
          <w:tcPr>
            <w:tcW w:w="2748" w:type="dxa"/>
            <w:gridSpan w:val="2"/>
            <w:tcBorders>
              <w:bottom w:val="single" w:sz="4" w:space="0" w:color="auto"/>
            </w:tcBorders>
          </w:tcPr>
          <w:p w14:paraId="2E371D97" w14:textId="77777777" w:rsidR="00CB4A00" w:rsidRPr="00760BED" w:rsidRDefault="00CB4A00" w:rsidP="00C66961">
            <w:pPr>
              <w:jc w:val="both"/>
              <w:rPr>
                <w:rFonts w:cs="Arial"/>
                <w:sz w:val="18"/>
                <w:szCs w:val="18"/>
                <w:lang w:eastAsia="cs-CZ"/>
              </w:rPr>
            </w:pPr>
            <w:r w:rsidRPr="00760BED">
              <w:rPr>
                <w:rFonts w:cs="Arial"/>
                <w:sz w:val="18"/>
                <w:szCs w:val="18"/>
                <w:lang w:eastAsia="cs-CZ"/>
              </w:rPr>
              <w:t>Realizace nezbytných opatření boje proti suchu, rozvoj alternativních zdrojů energie, zkvalitnění image uhelných regionů, generování vedlejších pozitivních synergických restrukturalizačních efektů a potenciálu pro další hospodářský a sociální rozvoj území. Dojde také k významné podpoře turismu i patriotismu u obyvatel.</w:t>
            </w:r>
          </w:p>
          <w:p w14:paraId="1376E98C" w14:textId="77777777" w:rsidR="00CB4A00" w:rsidRPr="00760BED" w:rsidRDefault="00CB4A00" w:rsidP="00C66961">
            <w:pPr>
              <w:jc w:val="both"/>
              <w:rPr>
                <w:rFonts w:cs="Arial"/>
                <w:sz w:val="18"/>
                <w:szCs w:val="18"/>
                <w:lang w:eastAsia="cs-CZ"/>
              </w:rPr>
            </w:pPr>
          </w:p>
          <w:p w14:paraId="53EA6278" w14:textId="77777777" w:rsidR="00CB4A00" w:rsidRDefault="00CB4A00" w:rsidP="00C66961">
            <w:pPr>
              <w:jc w:val="both"/>
              <w:rPr>
                <w:rFonts w:cs="Arial"/>
                <w:sz w:val="18"/>
                <w:szCs w:val="18"/>
                <w:lang w:eastAsia="cs-CZ"/>
              </w:rPr>
            </w:pPr>
            <w:r w:rsidRPr="00760BED">
              <w:rPr>
                <w:rFonts w:cs="Arial"/>
                <w:sz w:val="18"/>
                <w:szCs w:val="18"/>
                <w:lang w:eastAsia="cs-CZ"/>
              </w:rPr>
              <w:t>Zahrnuje projekty pro vodohospodářské a energetické účely, výzkumné projekty, projekty infrastruktury, zázemí pro volnočasové aktivity, turistiku, plochy pro bydlení.</w:t>
            </w:r>
          </w:p>
        </w:tc>
        <w:tc>
          <w:tcPr>
            <w:tcW w:w="2163" w:type="dxa"/>
            <w:tcBorders>
              <w:bottom w:val="single" w:sz="4" w:space="0" w:color="auto"/>
            </w:tcBorders>
          </w:tcPr>
          <w:p w14:paraId="61D081CA" w14:textId="77777777" w:rsidR="00CB4A00" w:rsidRDefault="00CB4A00" w:rsidP="00C66961">
            <w:pPr>
              <w:jc w:val="both"/>
              <w:rPr>
                <w:rFonts w:cs="Arial"/>
                <w:sz w:val="18"/>
                <w:szCs w:val="18"/>
                <w:lang w:eastAsia="cs-CZ"/>
              </w:rPr>
            </w:pPr>
            <w:r w:rsidRPr="00760BED">
              <w:rPr>
                <w:rFonts w:cs="Arial"/>
                <w:sz w:val="18"/>
                <w:szCs w:val="18"/>
                <w:lang w:eastAsia="cs-CZ"/>
              </w:rPr>
              <w:t>Zvýšení počtu kompetentních zaměstnanců v technických oborech a měkkých dovednostech, snížení počtu nezaměstnaných lidí.</w:t>
            </w:r>
          </w:p>
        </w:tc>
        <w:tc>
          <w:tcPr>
            <w:tcW w:w="2406" w:type="dxa"/>
            <w:tcBorders>
              <w:bottom w:val="single" w:sz="4" w:space="0" w:color="auto"/>
            </w:tcBorders>
          </w:tcPr>
          <w:p w14:paraId="17100750" w14:textId="77777777" w:rsidR="00CB4A00" w:rsidRDefault="00CB4A00" w:rsidP="00C66961">
            <w:pPr>
              <w:jc w:val="both"/>
              <w:rPr>
                <w:rFonts w:cs="Arial"/>
                <w:sz w:val="18"/>
                <w:szCs w:val="18"/>
                <w:lang w:eastAsia="cs-CZ"/>
              </w:rPr>
            </w:pPr>
            <w:r w:rsidRPr="00760BED">
              <w:rPr>
                <w:rFonts w:cs="Arial"/>
                <w:sz w:val="18"/>
                <w:szCs w:val="18"/>
                <w:lang w:eastAsia="cs-CZ"/>
              </w:rPr>
              <w:t>Cílové skupiny – obyvatelé regionu a podnikatelské subjekty, začínající podnikatelé a investoři, vědecké instituce a vědečtí pracovníci, studenti.</w:t>
            </w:r>
          </w:p>
        </w:tc>
        <w:tc>
          <w:tcPr>
            <w:tcW w:w="1482" w:type="dxa"/>
            <w:tcBorders>
              <w:bottom w:val="single" w:sz="4" w:space="0" w:color="auto"/>
            </w:tcBorders>
            <w:vAlign w:val="center"/>
          </w:tcPr>
          <w:p w14:paraId="5CF5553D" w14:textId="77777777" w:rsidR="00CB4A00" w:rsidRPr="005B7E06" w:rsidRDefault="00CB4A00" w:rsidP="00C66961">
            <w:pPr>
              <w:pStyle w:val="TableParagraph"/>
              <w:spacing w:line="266" w:lineRule="auto"/>
              <w:ind w:right="-7"/>
              <w:jc w:val="both"/>
              <w:rPr>
                <w:rFonts w:ascii="Arial" w:hAnsi="Arial" w:cs="Arial"/>
                <w:w w:val="105"/>
                <w:sz w:val="18"/>
                <w:szCs w:val="18"/>
                <w:lang w:val="cs-CZ"/>
              </w:rPr>
            </w:pPr>
            <w:r w:rsidRPr="005B7E06">
              <w:rPr>
                <w:rFonts w:ascii="Arial" w:hAnsi="Arial" w:cs="Arial"/>
                <w:w w:val="105"/>
                <w:sz w:val="18"/>
                <w:szCs w:val="18"/>
                <w:lang w:val="cs-CZ"/>
              </w:rPr>
              <w:t>Green Mine</w:t>
            </w:r>
          </w:p>
          <w:p w14:paraId="4AD3E272" w14:textId="77777777" w:rsidR="00CB4A00" w:rsidRPr="005B7E06" w:rsidRDefault="00CB4A00" w:rsidP="00C66961">
            <w:pPr>
              <w:pStyle w:val="TableParagraph"/>
              <w:spacing w:line="266" w:lineRule="auto"/>
              <w:ind w:right="-7"/>
              <w:jc w:val="center"/>
              <w:rPr>
                <w:rFonts w:ascii="Arial" w:hAnsi="Arial" w:cs="Arial"/>
                <w:w w:val="105"/>
                <w:sz w:val="18"/>
                <w:szCs w:val="18"/>
                <w:lang w:val="cs-CZ"/>
              </w:rPr>
            </w:pPr>
            <w:r w:rsidRPr="005B7E06">
              <w:rPr>
                <w:rFonts w:ascii="Arial" w:hAnsi="Arial" w:cs="Arial"/>
                <w:w w:val="105"/>
                <w:sz w:val="18"/>
                <w:szCs w:val="18"/>
                <w:lang w:val="cs-CZ"/>
              </w:rPr>
              <w:t>(území jezer Milada a Most)</w:t>
            </w:r>
          </w:p>
          <w:p w14:paraId="3DA30EB9" w14:textId="77777777" w:rsidR="00CB4A00" w:rsidRDefault="00CB4A00" w:rsidP="00C66961">
            <w:pPr>
              <w:rPr>
                <w:rFonts w:cs="Arial"/>
                <w:sz w:val="18"/>
                <w:szCs w:val="18"/>
                <w:lang w:eastAsia="cs-CZ"/>
              </w:rPr>
            </w:pPr>
          </w:p>
        </w:tc>
      </w:tr>
      <w:tr w:rsidR="00CB4A00" w14:paraId="21875CE8" w14:textId="77777777" w:rsidTr="00C66961">
        <w:trPr>
          <w:jc w:val="center"/>
        </w:trPr>
        <w:tc>
          <w:tcPr>
            <w:tcW w:w="2547" w:type="dxa"/>
            <w:tcBorders>
              <w:top w:val="single" w:sz="4" w:space="0" w:color="auto"/>
            </w:tcBorders>
          </w:tcPr>
          <w:p w14:paraId="373EFFEE" w14:textId="77777777" w:rsidR="00CB4A00" w:rsidRPr="007B1784" w:rsidRDefault="00CB4A00" w:rsidP="00C66961">
            <w:pPr>
              <w:jc w:val="both"/>
              <w:rPr>
                <w:rFonts w:cs="Arial"/>
                <w:sz w:val="18"/>
                <w:szCs w:val="18"/>
                <w:lang w:eastAsia="cs-CZ"/>
              </w:rPr>
            </w:pPr>
            <w:r w:rsidRPr="007B1784">
              <w:rPr>
                <w:rFonts w:cs="Arial"/>
                <w:b/>
                <w:bCs/>
                <w:sz w:val="18"/>
                <w:szCs w:val="18"/>
                <w:lang w:eastAsia="cs-CZ"/>
              </w:rPr>
              <w:t>Doplnění zázemí pro návštěvníky jezera Most</w:t>
            </w:r>
            <w:r w:rsidRPr="007B1784">
              <w:rPr>
                <w:rFonts w:cs="Arial"/>
                <w:sz w:val="18"/>
                <w:szCs w:val="18"/>
                <w:lang w:eastAsia="cs-CZ"/>
              </w:rPr>
              <w:t xml:space="preserve"> v prostoru revitalizovaného území pro oddech a sport</w:t>
            </w:r>
          </w:p>
          <w:p w14:paraId="06ED10AD" w14:textId="77777777" w:rsidR="00CB4A00" w:rsidRDefault="00CB4A00" w:rsidP="00C66961">
            <w:pPr>
              <w:jc w:val="both"/>
              <w:rPr>
                <w:rFonts w:cs="Arial"/>
                <w:sz w:val="18"/>
                <w:szCs w:val="18"/>
                <w:lang w:eastAsia="cs-CZ"/>
              </w:rPr>
            </w:pPr>
            <w:r w:rsidRPr="007B1784">
              <w:rPr>
                <w:rFonts w:cs="Arial"/>
                <w:sz w:val="18"/>
                <w:szCs w:val="18"/>
                <w:lang w:eastAsia="cs-CZ"/>
              </w:rPr>
              <w:lastRenderedPageBreak/>
              <w:t>Vybudování zázemí pro návštěvníky jezera Most v podobě restauračního zařízení pro celoroční provoz s letní terasou a navazujícím parterem, plochy se sezónními mobilními stánky s občerstvením v blízkosti pláže včetně sociálního zařízení, cestní síť pro nově navržené stavby apod.</w:t>
            </w:r>
          </w:p>
        </w:tc>
        <w:tc>
          <w:tcPr>
            <w:tcW w:w="1001" w:type="dxa"/>
            <w:tcBorders>
              <w:top w:val="single" w:sz="4" w:space="0" w:color="auto"/>
            </w:tcBorders>
          </w:tcPr>
          <w:p w14:paraId="4FA56DB3" w14:textId="77777777" w:rsidR="00CB4A00" w:rsidRDefault="00CB4A00" w:rsidP="00C66961">
            <w:pPr>
              <w:jc w:val="both"/>
              <w:rPr>
                <w:rFonts w:cs="Arial"/>
                <w:sz w:val="18"/>
                <w:szCs w:val="18"/>
                <w:lang w:eastAsia="cs-CZ"/>
              </w:rPr>
            </w:pPr>
            <w:r w:rsidRPr="007B1784">
              <w:rPr>
                <w:rFonts w:cs="Arial"/>
                <w:sz w:val="18"/>
                <w:szCs w:val="18"/>
                <w:lang w:eastAsia="cs-CZ"/>
              </w:rPr>
              <w:lastRenderedPageBreak/>
              <w:t>74 mil. Kč</w:t>
            </w:r>
          </w:p>
        </w:tc>
        <w:tc>
          <w:tcPr>
            <w:tcW w:w="1692" w:type="dxa"/>
            <w:gridSpan w:val="2"/>
            <w:tcBorders>
              <w:top w:val="single" w:sz="4" w:space="0" w:color="auto"/>
            </w:tcBorders>
          </w:tcPr>
          <w:p w14:paraId="186E565A" w14:textId="61CB1641" w:rsidR="00CB4A00" w:rsidRPr="007B1784" w:rsidRDefault="00CB4A00" w:rsidP="00C66961">
            <w:pPr>
              <w:jc w:val="both"/>
              <w:rPr>
                <w:rFonts w:cs="Arial"/>
                <w:sz w:val="18"/>
                <w:szCs w:val="18"/>
                <w:lang w:eastAsia="cs-CZ"/>
              </w:rPr>
            </w:pPr>
            <w:r w:rsidRPr="007B1784">
              <w:rPr>
                <w:rFonts w:cs="Arial"/>
                <w:sz w:val="18"/>
                <w:szCs w:val="18"/>
                <w:lang w:eastAsia="cs-CZ"/>
              </w:rPr>
              <w:t>OP</w:t>
            </w:r>
            <w:r w:rsidR="00E33424">
              <w:rPr>
                <w:rFonts w:cs="Arial"/>
                <w:sz w:val="18"/>
                <w:szCs w:val="18"/>
                <w:lang w:eastAsia="cs-CZ"/>
              </w:rPr>
              <w:t xml:space="preserve"> </w:t>
            </w:r>
            <w:r w:rsidRPr="007B1784">
              <w:rPr>
                <w:rFonts w:cs="Arial"/>
                <w:sz w:val="18"/>
                <w:szCs w:val="18"/>
                <w:lang w:eastAsia="cs-CZ"/>
              </w:rPr>
              <w:t>TAK, IROP, SFDI,</w:t>
            </w:r>
          </w:p>
          <w:p w14:paraId="5BF38ADE" w14:textId="77777777" w:rsidR="00CB4A00" w:rsidRDefault="00CB4A00" w:rsidP="00C66961">
            <w:pPr>
              <w:jc w:val="both"/>
              <w:rPr>
                <w:rFonts w:cs="Arial"/>
                <w:sz w:val="18"/>
                <w:szCs w:val="18"/>
                <w:lang w:eastAsia="cs-CZ"/>
              </w:rPr>
            </w:pPr>
            <w:r w:rsidRPr="007B1784">
              <w:rPr>
                <w:rFonts w:cs="Arial"/>
                <w:sz w:val="18"/>
                <w:szCs w:val="18"/>
                <w:lang w:eastAsia="cs-CZ"/>
              </w:rPr>
              <w:t>Národní dotační tituly</w:t>
            </w:r>
            <w:r>
              <w:rPr>
                <w:rStyle w:val="Znakapoznpodarou"/>
                <w:rFonts w:cs="Arial"/>
                <w:sz w:val="18"/>
                <w:szCs w:val="18"/>
                <w:lang w:eastAsia="cs-CZ"/>
              </w:rPr>
              <w:footnoteReference w:id="4"/>
            </w:r>
          </w:p>
        </w:tc>
        <w:tc>
          <w:tcPr>
            <w:tcW w:w="2748" w:type="dxa"/>
            <w:gridSpan w:val="2"/>
            <w:tcBorders>
              <w:top w:val="single" w:sz="4" w:space="0" w:color="auto"/>
            </w:tcBorders>
          </w:tcPr>
          <w:p w14:paraId="29234E20" w14:textId="77777777" w:rsidR="00CB4A00" w:rsidRDefault="00CB4A00" w:rsidP="00C66961">
            <w:pPr>
              <w:jc w:val="both"/>
              <w:rPr>
                <w:rFonts w:cs="Arial"/>
                <w:sz w:val="18"/>
                <w:szCs w:val="18"/>
                <w:lang w:eastAsia="cs-CZ"/>
              </w:rPr>
            </w:pPr>
            <w:r w:rsidRPr="007B1784">
              <w:rPr>
                <w:rFonts w:cs="Arial"/>
                <w:sz w:val="18"/>
                <w:szCs w:val="18"/>
                <w:lang w:eastAsia="cs-CZ"/>
              </w:rPr>
              <w:t xml:space="preserve">Příliv nových investorů, zkvalitnění image Ústeckého kraje a rozvoj jeho turistického potenciálu – pozitivní rozvoj v </w:t>
            </w:r>
            <w:r w:rsidRPr="007B1784">
              <w:rPr>
                <w:rFonts w:cs="Arial"/>
                <w:sz w:val="18"/>
                <w:szCs w:val="18"/>
                <w:lang w:eastAsia="cs-CZ"/>
              </w:rPr>
              <w:lastRenderedPageBreak/>
              <w:t>tomto směru bude generovat řadu synergických restrukturalizačních efektů a potenciálu pro další hospodářský a sociální rozvoj území.</w:t>
            </w:r>
          </w:p>
        </w:tc>
        <w:tc>
          <w:tcPr>
            <w:tcW w:w="2163" w:type="dxa"/>
            <w:tcBorders>
              <w:top w:val="single" w:sz="4" w:space="0" w:color="auto"/>
            </w:tcBorders>
          </w:tcPr>
          <w:p w14:paraId="4A78F58B" w14:textId="77777777" w:rsidR="00CB4A00" w:rsidRDefault="00CB4A00" w:rsidP="00C66961">
            <w:pPr>
              <w:jc w:val="both"/>
              <w:rPr>
                <w:rFonts w:cs="Arial"/>
                <w:sz w:val="18"/>
                <w:szCs w:val="18"/>
                <w:lang w:eastAsia="cs-CZ"/>
              </w:rPr>
            </w:pPr>
            <w:r w:rsidRPr="007B1784">
              <w:rPr>
                <w:rFonts w:cs="Arial"/>
                <w:sz w:val="18"/>
                <w:szCs w:val="18"/>
                <w:lang w:eastAsia="cs-CZ"/>
              </w:rPr>
              <w:lastRenderedPageBreak/>
              <w:t xml:space="preserve">Zkvalitnění života území ve strukturálně postižených regionech, snížení počtu </w:t>
            </w:r>
            <w:r w:rsidRPr="007B1784">
              <w:rPr>
                <w:rFonts w:cs="Arial"/>
                <w:sz w:val="18"/>
                <w:szCs w:val="18"/>
                <w:lang w:eastAsia="cs-CZ"/>
              </w:rPr>
              <w:lastRenderedPageBreak/>
              <w:t>nezaměstnaných lidí, zvýšení atraktivity regionu.</w:t>
            </w:r>
          </w:p>
        </w:tc>
        <w:tc>
          <w:tcPr>
            <w:tcW w:w="2406" w:type="dxa"/>
            <w:tcBorders>
              <w:top w:val="single" w:sz="4" w:space="0" w:color="auto"/>
            </w:tcBorders>
          </w:tcPr>
          <w:p w14:paraId="1D70C01F" w14:textId="77777777" w:rsidR="00CB4A00" w:rsidRDefault="00CB4A00" w:rsidP="00C66961">
            <w:pPr>
              <w:jc w:val="both"/>
              <w:rPr>
                <w:rFonts w:cs="Arial"/>
                <w:sz w:val="18"/>
                <w:szCs w:val="18"/>
                <w:lang w:eastAsia="cs-CZ"/>
              </w:rPr>
            </w:pPr>
            <w:r w:rsidRPr="007B1784">
              <w:rPr>
                <w:rFonts w:cs="Arial"/>
                <w:sz w:val="18"/>
                <w:szCs w:val="18"/>
                <w:lang w:eastAsia="cs-CZ"/>
              </w:rPr>
              <w:lastRenderedPageBreak/>
              <w:t>Cílové skupiny – obyvatelé regionu a podnikatelské subjekty, začínající podnikatelé a investoři.</w:t>
            </w:r>
          </w:p>
        </w:tc>
        <w:tc>
          <w:tcPr>
            <w:tcW w:w="1482" w:type="dxa"/>
            <w:tcBorders>
              <w:top w:val="single" w:sz="4" w:space="0" w:color="auto"/>
            </w:tcBorders>
            <w:vAlign w:val="center"/>
          </w:tcPr>
          <w:p w14:paraId="09872AF3"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725B8090" w14:textId="77777777" w:rsidTr="00C66961">
        <w:trPr>
          <w:jc w:val="center"/>
        </w:trPr>
        <w:tc>
          <w:tcPr>
            <w:tcW w:w="14039" w:type="dxa"/>
            <w:gridSpan w:val="9"/>
            <w:shd w:val="clear" w:color="auto" w:fill="E2EFD9" w:themeFill="accent6" w:themeFillTint="33"/>
          </w:tcPr>
          <w:p w14:paraId="610405B3" w14:textId="77777777" w:rsidR="00CB4A00" w:rsidRPr="007B1784" w:rsidRDefault="00CB4A00" w:rsidP="002E4092">
            <w:pPr>
              <w:pStyle w:val="Odstavecseseznamem"/>
              <w:numPr>
                <w:ilvl w:val="0"/>
                <w:numId w:val="7"/>
              </w:numPr>
              <w:jc w:val="center"/>
              <w:rPr>
                <w:rFonts w:cs="Arial"/>
                <w:b/>
                <w:bCs/>
                <w:sz w:val="18"/>
                <w:szCs w:val="18"/>
                <w:lang w:eastAsia="cs-CZ"/>
              </w:rPr>
            </w:pPr>
            <w:r w:rsidRPr="007B1784">
              <w:rPr>
                <w:rFonts w:cs="Arial"/>
                <w:b/>
                <w:bCs/>
                <w:sz w:val="18"/>
                <w:szCs w:val="18"/>
                <w:lang w:eastAsia="cs-CZ"/>
              </w:rPr>
              <w:t>Zvýšení kvality středního školství</w:t>
            </w:r>
          </w:p>
        </w:tc>
      </w:tr>
      <w:tr w:rsidR="00CB4A00" w14:paraId="348F7505" w14:textId="77777777" w:rsidTr="00C66961">
        <w:trPr>
          <w:jc w:val="center"/>
        </w:trPr>
        <w:tc>
          <w:tcPr>
            <w:tcW w:w="2547" w:type="dxa"/>
          </w:tcPr>
          <w:p w14:paraId="3B5FFAAA" w14:textId="77777777" w:rsidR="00CB4A00" w:rsidRPr="007B1784" w:rsidRDefault="00CB4A00" w:rsidP="00C66961">
            <w:pPr>
              <w:jc w:val="both"/>
              <w:rPr>
                <w:rFonts w:cs="Arial"/>
                <w:b/>
                <w:bCs/>
                <w:sz w:val="18"/>
                <w:szCs w:val="18"/>
                <w:lang w:eastAsia="cs-CZ"/>
              </w:rPr>
            </w:pPr>
            <w:r w:rsidRPr="007B1784">
              <w:rPr>
                <w:rFonts w:cs="Arial"/>
                <w:b/>
                <w:bCs/>
                <w:sz w:val="18"/>
                <w:szCs w:val="18"/>
                <w:lang w:eastAsia="cs-CZ"/>
              </w:rPr>
              <w:t>Kampus řemesel</w:t>
            </w:r>
          </w:p>
          <w:p w14:paraId="6C202A64" w14:textId="77777777" w:rsidR="00CB4A00" w:rsidRPr="007B1784" w:rsidRDefault="00CB4A00" w:rsidP="00C66961">
            <w:pPr>
              <w:jc w:val="both"/>
              <w:rPr>
                <w:rFonts w:cs="Arial"/>
                <w:sz w:val="18"/>
                <w:szCs w:val="18"/>
                <w:lang w:eastAsia="cs-CZ"/>
              </w:rPr>
            </w:pPr>
            <w:r w:rsidRPr="007B1784">
              <w:rPr>
                <w:rFonts w:cs="Arial"/>
                <w:sz w:val="18"/>
                <w:szCs w:val="18"/>
                <w:lang w:eastAsia="cs-CZ"/>
              </w:rPr>
              <w:t>Jedná se o výstavbu nových budov a rekonstrukce stávajících budov, aby se současná centra výuky situovala do jednoho nového centra. Součástí budou inteligentní (smart) prvky chytré budovy (současně propojeny s výukou - "školní pomůcka"), testovací centrum Průmyslu 4.0. Projekt bude také řešit inovace ve vzdělávání, propojení s VŠ, se zaměstnavateli.</w:t>
            </w:r>
          </w:p>
          <w:p w14:paraId="290727FB" w14:textId="77777777" w:rsidR="00CB4A00" w:rsidRDefault="00CB4A00" w:rsidP="00C66961">
            <w:pPr>
              <w:jc w:val="both"/>
              <w:rPr>
                <w:rFonts w:cs="Arial"/>
                <w:sz w:val="18"/>
                <w:szCs w:val="18"/>
                <w:lang w:eastAsia="cs-CZ"/>
              </w:rPr>
            </w:pPr>
            <w:r w:rsidRPr="007B1784">
              <w:rPr>
                <w:rFonts w:cs="Arial"/>
                <w:sz w:val="18"/>
                <w:szCs w:val="18"/>
                <w:lang w:eastAsia="cs-CZ"/>
              </w:rPr>
              <w:t xml:space="preserve">Přímé dopady: Zvýšení počtu žáků a studentů s technickým a řemeslným zaměřením, podpora rozvoje místních firem, příliv nových investorů, navýšení počtu vědeckých pracovníků, zvýšení počtu </w:t>
            </w:r>
            <w:r w:rsidRPr="007B1784">
              <w:rPr>
                <w:rFonts w:cs="Arial"/>
                <w:sz w:val="18"/>
                <w:szCs w:val="18"/>
                <w:lang w:eastAsia="cs-CZ"/>
              </w:rPr>
              <w:lastRenderedPageBreak/>
              <w:t>projektů zaměřených na spolupráci výzkumné a soukromé sféry.</w:t>
            </w:r>
          </w:p>
        </w:tc>
        <w:tc>
          <w:tcPr>
            <w:tcW w:w="1001" w:type="dxa"/>
          </w:tcPr>
          <w:p w14:paraId="12958028" w14:textId="77777777" w:rsidR="00CB4A00" w:rsidRDefault="00CB4A00" w:rsidP="00C66961">
            <w:pPr>
              <w:rPr>
                <w:rFonts w:cs="Arial"/>
                <w:sz w:val="18"/>
                <w:szCs w:val="18"/>
                <w:lang w:eastAsia="cs-CZ"/>
              </w:rPr>
            </w:pPr>
            <w:r w:rsidRPr="007B1784">
              <w:rPr>
                <w:rFonts w:cs="Arial"/>
                <w:sz w:val="18"/>
                <w:szCs w:val="18"/>
                <w:lang w:eastAsia="cs-CZ"/>
              </w:rPr>
              <w:lastRenderedPageBreak/>
              <w:t>984 mil. Kč</w:t>
            </w:r>
          </w:p>
        </w:tc>
        <w:tc>
          <w:tcPr>
            <w:tcW w:w="1692" w:type="dxa"/>
            <w:gridSpan w:val="2"/>
          </w:tcPr>
          <w:p w14:paraId="0C624C4F" w14:textId="77777777" w:rsidR="00CB4A00" w:rsidRDefault="00CB4A00" w:rsidP="00C66961">
            <w:pPr>
              <w:jc w:val="both"/>
              <w:rPr>
                <w:rFonts w:cs="Arial"/>
                <w:sz w:val="18"/>
                <w:szCs w:val="18"/>
                <w:lang w:eastAsia="cs-CZ"/>
              </w:rPr>
            </w:pPr>
            <w:r w:rsidRPr="007B1784">
              <w:rPr>
                <w:rFonts w:cs="Arial"/>
                <w:sz w:val="18"/>
                <w:szCs w:val="18"/>
                <w:lang w:eastAsia="cs-CZ"/>
              </w:rPr>
              <w:t>EU fondy 2021+</w:t>
            </w:r>
          </w:p>
        </w:tc>
        <w:tc>
          <w:tcPr>
            <w:tcW w:w="2748" w:type="dxa"/>
            <w:gridSpan w:val="2"/>
          </w:tcPr>
          <w:p w14:paraId="32163B02" w14:textId="77777777" w:rsidR="00CB4A00" w:rsidRDefault="00CB4A00" w:rsidP="00C66961">
            <w:pPr>
              <w:jc w:val="both"/>
              <w:rPr>
                <w:rFonts w:cs="Arial"/>
                <w:sz w:val="18"/>
                <w:szCs w:val="18"/>
                <w:lang w:eastAsia="cs-CZ"/>
              </w:rPr>
            </w:pPr>
            <w:r w:rsidRPr="007B1784">
              <w:rPr>
                <w:rFonts w:cs="Arial"/>
                <w:sz w:val="18"/>
                <w:szCs w:val="18"/>
                <w:lang w:eastAsia="cs-CZ"/>
              </w:rPr>
              <w:t>Zvýšení počtu žáků a studentů s technickým a řemeslným zaměřením, podpora rozvoje místních firem, příliv nových investorů, navýšení počtu vědeckých pracovníků, zvýšení počtu projektů zaměřených na spolupráci výzkumné a soukromé sféry.</w:t>
            </w:r>
          </w:p>
        </w:tc>
        <w:tc>
          <w:tcPr>
            <w:tcW w:w="2163" w:type="dxa"/>
          </w:tcPr>
          <w:p w14:paraId="19E27A12" w14:textId="77777777" w:rsidR="00CB4A00" w:rsidRDefault="00CB4A00" w:rsidP="00C66961">
            <w:pPr>
              <w:jc w:val="both"/>
              <w:rPr>
                <w:rFonts w:cs="Arial"/>
                <w:sz w:val="18"/>
                <w:szCs w:val="18"/>
                <w:lang w:eastAsia="cs-CZ"/>
              </w:rPr>
            </w:pPr>
            <w:r w:rsidRPr="002520A7">
              <w:rPr>
                <w:rFonts w:cs="Arial"/>
                <w:sz w:val="18"/>
                <w:szCs w:val="18"/>
                <w:lang w:eastAsia="cs-CZ"/>
              </w:rPr>
              <w:t>Zvýšení počtu kompetentních zaměstnanců v technických oborech a měkkých dovednostech, snížení počtu nezaměstnaných lidí.</w:t>
            </w:r>
          </w:p>
        </w:tc>
        <w:tc>
          <w:tcPr>
            <w:tcW w:w="2406" w:type="dxa"/>
          </w:tcPr>
          <w:p w14:paraId="2071BCD0" w14:textId="77777777" w:rsidR="00CB4A00" w:rsidRDefault="00CB4A00" w:rsidP="00C66961">
            <w:pPr>
              <w:jc w:val="both"/>
              <w:rPr>
                <w:rFonts w:cs="Arial"/>
                <w:sz w:val="18"/>
                <w:szCs w:val="18"/>
                <w:lang w:eastAsia="cs-CZ"/>
              </w:rPr>
            </w:pPr>
            <w:r w:rsidRPr="002520A7">
              <w:rPr>
                <w:rFonts w:cs="Arial"/>
                <w:sz w:val="18"/>
                <w:szCs w:val="18"/>
                <w:lang w:eastAsia="cs-CZ"/>
              </w:rPr>
              <w:t>Cílové skupiny – studenti, začínající podnikatelé a zaměstnavatelé regionu.</w:t>
            </w:r>
          </w:p>
        </w:tc>
        <w:tc>
          <w:tcPr>
            <w:tcW w:w="1482" w:type="dxa"/>
            <w:vMerge w:val="restart"/>
            <w:vAlign w:val="center"/>
          </w:tcPr>
          <w:p w14:paraId="46653AD9"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48AFF269" w14:textId="77777777" w:rsidTr="00C66961">
        <w:trPr>
          <w:jc w:val="center"/>
        </w:trPr>
        <w:tc>
          <w:tcPr>
            <w:tcW w:w="2547" w:type="dxa"/>
          </w:tcPr>
          <w:p w14:paraId="7E8900A7" w14:textId="77777777" w:rsidR="00CB4A00" w:rsidRPr="0042130B" w:rsidRDefault="00CB4A00" w:rsidP="00C66961">
            <w:pPr>
              <w:jc w:val="both"/>
              <w:rPr>
                <w:rFonts w:cs="Arial"/>
                <w:sz w:val="18"/>
                <w:szCs w:val="18"/>
                <w:lang w:eastAsia="cs-CZ"/>
              </w:rPr>
            </w:pPr>
            <w:r w:rsidRPr="0042130B">
              <w:rPr>
                <w:rFonts w:cs="Arial"/>
                <w:b/>
                <w:bCs/>
                <w:sz w:val="18"/>
                <w:szCs w:val="18"/>
                <w:lang w:eastAsia="cs-CZ"/>
              </w:rPr>
              <w:t>Konektivity SW a HW</w:t>
            </w:r>
            <w:r w:rsidRPr="0042130B">
              <w:rPr>
                <w:rFonts w:cs="Arial"/>
                <w:sz w:val="18"/>
                <w:szCs w:val="18"/>
                <w:lang w:eastAsia="cs-CZ"/>
              </w:rPr>
              <w:t xml:space="preserve"> na středních školách v předepsaném standardu</w:t>
            </w:r>
          </w:p>
          <w:p w14:paraId="68EAFD94" w14:textId="77777777" w:rsidR="00CB4A00" w:rsidRPr="0042130B" w:rsidRDefault="00CB4A00" w:rsidP="00C66961">
            <w:pPr>
              <w:jc w:val="both"/>
              <w:rPr>
                <w:rFonts w:cs="Arial"/>
                <w:sz w:val="18"/>
                <w:szCs w:val="18"/>
                <w:lang w:eastAsia="cs-CZ"/>
              </w:rPr>
            </w:pPr>
            <w:r w:rsidRPr="0042130B">
              <w:rPr>
                <w:rFonts w:cs="Arial"/>
                <w:sz w:val="18"/>
                <w:szCs w:val="18"/>
                <w:lang w:eastAsia="cs-CZ"/>
              </w:rPr>
              <w:t>Jedná o zajištění standardů konektivity a dovybavení hardwaru a softwaru na středních školách (1. etapa 15 páteřních škol v ÚK, 2. etapa zbývajících 44 škol).</w:t>
            </w:r>
          </w:p>
          <w:p w14:paraId="1A0EFACC" w14:textId="77777777" w:rsidR="00CB4A00" w:rsidRDefault="00CB4A00" w:rsidP="00C66961">
            <w:pPr>
              <w:jc w:val="both"/>
              <w:rPr>
                <w:rFonts w:cs="Arial"/>
                <w:sz w:val="18"/>
                <w:szCs w:val="18"/>
                <w:lang w:eastAsia="cs-CZ"/>
              </w:rPr>
            </w:pPr>
            <w:r w:rsidRPr="0042130B">
              <w:rPr>
                <w:rFonts w:cs="Arial"/>
                <w:sz w:val="18"/>
                <w:szCs w:val="18"/>
                <w:lang w:eastAsia="cs-CZ"/>
              </w:rPr>
              <w:t>Přímé dopady: Zvýšení kvality výuky.</w:t>
            </w:r>
          </w:p>
        </w:tc>
        <w:tc>
          <w:tcPr>
            <w:tcW w:w="1001" w:type="dxa"/>
          </w:tcPr>
          <w:p w14:paraId="4BB82A64" w14:textId="77777777" w:rsidR="00CB4A00" w:rsidRDefault="00CB4A00" w:rsidP="00C66961">
            <w:pPr>
              <w:jc w:val="both"/>
              <w:rPr>
                <w:rFonts w:cs="Arial"/>
                <w:sz w:val="18"/>
                <w:szCs w:val="18"/>
                <w:lang w:eastAsia="cs-CZ"/>
              </w:rPr>
            </w:pPr>
            <w:r w:rsidRPr="0042130B">
              <w:rPr>
                <w:rFonts w:cs="Arial"/>
                <w:sz w:val="18"/>
                <w:szCs w:val="18"/>
                <w:lang w:eastAsia="cs-CZ"/>
              </w:rPr>
              <w:t>88 mil. Kč</w:t>
            </w:r>
          </w:p>
        </w:tc>
        <w:tc>
          <w:tcPr>
            <w:tcW w:w="1692" w:type="dxa"/>
            <w:gridSpan w:val="2"/>
          </w:tcPr>
          <w:p w14:paraId="733F26B3" w14:textId="77777777" w:rsidR="00CB4A00" w:rsidRDefault="00CB4A00" w:rsidP="00C66961">
            <w:pPr>
              <w:jc w:val="both"/>
              <w:rPr>
                <w:rFonts w:cs="Arial"/>
                <w:sz w:val="18"/>
                <w:szCs w:val="18"/>
                <w:lang w:eastAsia="cs-CZ"/>
              </w:rPr>
            </w:pPr>
            <w:r w:rsidRPr="0042130B">
              <w:rPr>
                <w:rFonts w:cs="Arial"/>
                <w:sz w:val="18"/>
                <w:szCs w:val="18"/>
                <w:lang w:eastAsia="cs-CZ"/>
              </w:rPr>
              <w:t>EU fondy 2021+, tematická výzva OP ST</w:t>
            </w:r>
          </w:p>
        </w:tc>
        <w:tc>
          <w:tcPr>
            <w:tcW w:w="2748" w:type="dxa"/>
            <w:gridSpan w:val="2"/>
          </w:tcPr>
          <w:p w14:paraId="58BCA234" w14:textId="77777777" w:rsidR="00CB4A00" w:rsidRDefault="00CB4A00" w:rsidP="00C66961">
            <w:pPr>
              <w:jc w:val="both"/>
              <w:rPr>
                <w:rFonts w:cs="Arial"/>
                <w:sz w:val="18"/>
                <w:szCs w:val="18"/>
                <w:lang w:eastAsia="cs-CZ"/>
              </w:rPr>
            </w:pPr>
            <w:r w:rsidRPr="0042130B">
              <w:rPr>
                <w:rFonts w:cs="Arial"/>
                <w:sz w:val="18"/>
                <w:szCs w:val="18"/>
                <w:lang w:eastAsia="cs-CZ"/>
              </w:rPr>
              <w:t>Zvýšení počtu pracovníků školy a žáků pracující s novými IT technologiemi, lepší spolupráce školy a místních firem, prohloubení znalostí studentů zejména s technickým zaměřením.</w:t>
            </w:r>
          </w:p>
        </w:tc>
        <w:tc>
          <w:tcPr>
            <w:tcW w:w="2163" w:type="dxa"/>
            <w:tcBorders>
              <w:top w:val="nil"/>
            </w:tcBorders>
          </w:tcPr>
          <w:p w14:paraId="57A7846C" w14:textId="77777777" w:rsidR="00CB4A00" w:rsidRDefault="00CB4A00" w:rsidP="00C66961">
            <w:pPr>
              <w:jc w:val="both"/>
              <w:rPr>
                <w:rFonts w:cs="Arial"/>
                <w:sz w:val="18"/>
                <w:szCs w:val="18"/>
                <w:lang w:eastAsia="cs-CZ"/>
              </w:rPr>
            </w:pPr>
            <w:r w:rsidRPr="0042130B">
              <w:rPr>
                <w:rFonts w:cs="Arial"/>
                <w:sz w:val="18"/>
                <w:szCs w:val="18"/>
                <w:lang w:eastAsia="cs-CZ"/>
              </w:rPr>
              <w:t>Zvýšení počtu kompetentních zaměstnanců s technickými dovednostmi, kteří budou mít snadnější startovací pozici na pracovním trhu.</w:t>
            </w:r>
          </w:p>
        </w:tc>
        <w:tc>
          <w:tcPr>
            <w:tcW w:w="2406" w:type="dxa"/>
            <w:tcBorders>
              <w:top w:val="nil"/>
            </w:tcBorders>
          </w:tcPr>
          <w:p w14:paraId="509013C7" w14:textId="77777777" w:rsidR="00CB4A00" w:rsidRDefault="00CB4A00" w:rsidP="00C66961">
            <w:pPr>
              <w:jc w:val="both"/>
              <w:rPr>
                <w:rFonts w:cs="Arial"/>
                <w:sz w:val="18"/>
                <w:szCs w:val="18"/>
                <w:lang w:eastAsia="cs-CZ"/>
              </w:rPr>
            </w:pPr>
            <w:r w:rsidRPr="0042130B">
              <w:rPr>
                <w:rFonts w:cs="Arial"/>
                <w:sz w:val="18"/>
                <w:szCs w:val="18"/>
                <w:lang w:eastAsia="cs-CZ"/>
              </w:rPr>
              <w:t>Cílové skupiny – studenti, zaměstnavatelé a začínající podnikatelé regionu.</w:t>
            </w:r>
          </w:p>
          <w:p w14:paraId="42538C63" w14:textId="77777777" w:rsidR="00CB4A00" w:rsidRPr="0042130B" w:rsidRDefault="00CB4A00" w:rsidP="00C66961">
            <w:pPr>
              <w:ind w:firstLine="708"/>
              <w:rPr>
                <w:rFonts w:cs="Arial"/>
                <w:sz w:val="18"/>
                <w:szCs w:val="18"/>
                <w:lang w:eastAsia="cs-CZ"/>
              </w:rPr>
            </w:pPr>
          </w:p>
        </w:tc>
        <w:tc>
          <w:tcPr>
            <w:tcW w:w="1482" w:type="dxa"/>
            <w:vMerge/>
          </w:tcPr>
          <w:p w14:paraId="1A3D9CAA" w14:textId="77777777" w:rsidR="00CB4A00" w:rsidRDefault="00CB4A00" w:rsidP="00C66961">
            <w:pPr>
              <w:jc w:val="both"/>
              <w:rPr>
                <w:rFonts w:cs="Arial"/>
                <w:sz w:val="18"/>
                <w:szCs w:val="18"/>
                <w:lang w:eastAsia="cs-CZ"/>
              </w:rPr>
            </w:pPr>
          </w:p>
        </w:tc>
      </w:tr>
      <w:tr w:rsidR="00CB4A00" w14:paraId="3776643F" w14:textId="77777777" w:rsidTr="00C66961">
        <w:trPr>
          <w:jc w:val="center"/>
        </w:trPr>
        <w:tc>
          <w:tcPr>
            <w:tcW w:w="14039" w:type="dxa"/>
            <w:gridSpan w:val="9"/>
            <w:shd w:val="clear" w:color="auto" w:fill="E2EFD9" w:themeFill="accent6" w:themeFillTint="33"/>
          </w:tcPr>
          <w:p w14:paraId="20F37904" w14:textId="77777777" w:rsidR="00CB4A00" w:rsidRPr="00CB3855" w:rsidRDefault="00CB4A00" w:rsidP="002E4092">
            <w:pPr>
              <w:pStyle w:val="Odstavecseseznamem"/>
              <w:numPr>
                <w:ilvl w:val="0"/>
                <w:numId w:val="7"/>
              </w:numPr>
              <w:jc w:val="center"/>
              <w:rPr>
                <w:rFonts w:cs="Arial"/>
                <w:b/>
                <w:bCs/>
                <w:sz w:val="18"/>
                <w:szCs w:val="18"/>
                <w:lang w:eastAsia="cs-CZ"/>
              </w:rPr>
            </w:pPr>
            <w:r w:rsidRPr="00CB3855">
              <w:rPr>
                <w:rFonts w:cs="Arial"/>
                <w:b/>
                <w:bCs/>
                <w:sz w:val="18"/>
                <w:szCs w:val="18"/>
                <w:lang w:eastAsia="cs-CZ"/>
              </w:rPr>
              <w:t>Alternativní zdroje energie</w:t>
            </w:r>
          </w:p>
        </w:tc>
      </w:tr>
      <w:tr w:rsidR="00CB4A00" w14:paraId="363A200F" w14:textId="77777777" w:rsidTr="00C66961">
        <w:trPr>
          <w:jc w:val="center"/>
        </w:trPr>
        <w:tc>
          <w:tcPr>
            <w:tcW w:w="2547" w:type="dxa"/>
          </w:tcPr>
          <w:p w14:paraId="53F09DE7" w14:textId="77777777" w:rsidR="00CB4A00" w:rsidRPr="00CB3855" w:rsidRDefault="00CB4A00" w:rsidP="00C66961">
            <w:pPr>
              <w:jc w:val="both"/>
              <w:rPr>
                <w:rFonts w:cs="Arial"/>
                <w:b/>
                <w:bCs/>
                <w:sz w:val="18"/>
                <w:szCs w:val="18"/>
                <w:lang w:eastAsia="cs-CZ"/>
              </w:rPr>
            </w:pPr>
            <w:r w:rsidRPr="00CB3855">
              <w:rPr>
                <w:rFonts w:cs="Arial"/>
                <w:b/>
                <w:bCs/>
                <w:sz w:val="18"/>
                <w:szCs w:val="18"/>
                <w:lang w:eastAsia="cs-CZ"/>
              </w:rPr>
              <w:t>ZEVO</w:t>
            </w:r>
          </w:p>
          <w:p w14:paraId="50E678AA" w14:textId="77777777" w:rsidR="00CB4A00" w:rsidRPr="00CB3855" w:rsidRDefault="00CB4A00" w:rsidP="00C66961">
            <w:pPr>
              <w:jc w:val="both"/>
              <w:rPr>
                <w:rFonts w:cs="Arial"/>
                <w:sz w:val="18"/>
                <w:szCs w:val="18"/>
                <w:lang w:eastAsia="cs-CZ"/>
              </w:rPr>
            </w:pPr>
            <w:r w:rsidRPr="00CB3855">
              <w:rPr>
                <w:rFonts w:cs="Arial"/>
                <w:sz w:val="18"/>
                <w:szCs w:val="18"/>
                <w:lang w:eastAsia="cs-CZ"/>
              </w:rPr>
              <w:t>Podpora výstavby kapacit pro energetické využití odpadu na území Ústeckého kraje. Cílem je mimo jiné nahradit spalování fosilních paliv pomocí jiného zdroje energie,</w:t>
            </w:r>
          </w:p>
          <w:p w14:paraId="34AFF21E" w14:textId="77777777" w:rsidR="00CB4A00" w:rsidRPr="00CB3855" w:rsidRDefault="00CB4A00" w:rsidP="00C66961">
            <w:pPr>
              <w:jc w:val="both"/>
              <w:rPr>
                <w:rFonts w:cs="Arial"/>
                <w:sz w:val="18"/>
                <w:szCs w:val="18"/>
                <w:lang w:eastAsia="cs-CZ"/>
              </w:rPr>
            </w:pPr>
            <w:r w:rsidRPr="00CB3855">
              <w:rPr>
                <w:rFonts w:cs="Arial"/>
                <w:sz w:val="18"/>
                <w:szCs w:val="18"/>
                <w:lang w:eastAsia="cs-CZ"/>
              </w:rPr>
              <w:t>rozšířit tak palivový mix. teplárny, a to za předpokladu udržení konkurenceschopnosti ceny vyráběného a dodávaného tepla a elektrické energie spojené se snížením produkce emisí škodlivin do ovzduší vč. skleníkových plynů.</w:t>
            </w:r>
          </w:p>
          <w:p w14:paraId="5CE83300" w14:textId="77777777" w:rsidR="00CB4A00" w:rsidRDefault="00CB4A00" w:rsidP="00C66961">
            <w:pPr>
              <w:jc w:val="both"/>
              <w:rPr>
                <w:rFonts w:cs="Arial"/>
                <w:sz w:val="18"/>
                <w:szCs w:val="18"/>
                <w:lang w:eastAsia="cs-CZ"/>
              </w:rPr>
            </w:pPr>
            <w:r w:rsidRPr="00CB3855">
              <w:rPr>
                <w:rFonts w:cs="Arial"/>
                <w:sz w:val="18"/>
                <w:szCs w:val="18"/>
                <w:lang w:eastAsia="cs-CZ"/>
              </w:rPr>
              <w:t>Výstavba zařízení pro spalování SKO o kapacitě 150 000 t/rok.</w:t>
            </w:r>
          </w:p>
        </w:tc>
        <w:tc>
          <w:tcPr>
            <w:tcW w:w="1001" w:type="dxa"/>
          </w:tcPr>
          <w:p w14:paraId="52F9797D" w14:textId="77777777" w:rsidR="00CB4A00" w:rsidRDefault="00CB4A00" w:rsidP="00C66961">
            <w:pPr>
              <w:jc w:val="both"/>
              <w:rPr>
                <w:rFonts w:cs="Arial"/>
                <w:sz w:val="18"/>
                <w:szCs w:val="18"/>
                <w:lang w:eastAsia="cs-CZ"/>
              </w:rPr>
            </w:pPr>
            <w:r w:rsidRPr="00CB3855">
              <w:rPr>
                <w:rFonts w:cs="Arial"/>
                <w:sz w:val="18"/>
                <w:szCs w:val="18"/>
                <w:lang w:eastAsia="cs-CZ"/>
              </w:rPr>
              <w:t>1 000 mil. Kč</w:t>
            </w:r>
          </w:p>
        </w:tc>
        <w:tc>
          <w:tcPr>
            <w:tcW w:w="1692" w:type="dxa"/>
            <w:gridSpan w:val="2"/>
          </w:tcPr>
          <w:p w14:paraId="47B69F3B" w14:textId="77777777" w:rsidR="00CB4A00" w:rsidRDefault="00CB4A00" w:rsidP="00C66961">
            <w:pPr>
              <w:jc w:val="both"/>
              <w:rPr>
                <w:rFonts w:cs="Arial"/>
                <w:sz w:val="18"/>
                <w:szCs w:val="18"/>
                <w:lang w:eastAsia="cs-CZ"/>
              </w:rPr>
            </w:pPr>
            <w:r w:rsidRPr="00CB3855">
              <w:rPr>
                <w:rFonts w:cs="Arial"/>
                <w:sz w:val="18"/>
                <w:szCs w:val="18"/>
                <w:lang w:eastAsia="cs-CZ"/>
              </w:rPr>
              <w:t>EU fondy 2021+</w:t>
            </w:r>
          </w:p>
        </w:tc>
        <w:tc>
          <w:tcPr>
            <w:tcW w:w="2748" w:type="dxa"/>
            <w:gridSpan w:val="2"/>
          </w:tcPr>
          <w:p w14:paraId="440766B6" w14:textId="77777777" w:rsidR="00CB4A00" w:rsidRDefault="00CB4A00" w:rsidP="00C66961">
            <w:pPr>
              <w:jc w:val="both"/>
              <w:rPr>
                <w:rFonts w:cs="Arial"/>
                <w:sz w:val="18"/>
                <w:szCs w:val="18"/>
                <w:lang w:eastAsia="cs-CZ"/>
              </w:rPr>
            </w:pPr>
            <w:r w:rsidRPr="00CB3855">
              <w:rPr>
                <w:rFonts w:cs="Arial"/>
                <w:sz w:val="18"/>
                <w:szCs w:val="18"/>
                <w:lang w:eastAsia="cs-CZ"/>
              </w:rPr>
              <w:t>Bez vybudování klíčových zařízení, nebude pro obce a další producenty odpadů v kraji po roce 2030 alternativa ke skládkování, což sebou může přinést neúměrné zvýšení koncové ceny za likvidaci odpadů. Tyto náklady budou obce muset najít ve svých rozpočtech, potažmo přenést v rámci poplatku na občana, což představuje další negativní dopad v sociální oblasti.</w:t>
            </w:r>
          </w:p>
        </w:tc>
        <w:tc>
          <w:tcPr>
            <w:tcW w:w="2163" w:type="dxa"/>
          </w:tcPr>
          <w:p w14:paraId="6AFC2A82" w14:textId="77777777" w:rsidR="00CB4A00" w:rsidRDefault="00CB4A00" w:rsidP="00C66961">
            <w:pPr>
              <w:jc w:val="both"/>
              <w:rPr>
                <w:rFonts w:cs="Arial"/>
                <w:sz w:val="18"/>
                <w:szCs w:val="18"/>
                <w:lang w:eastAsia="cs-CZ"/>
              </w:rPr>
            </w:pPr>
            <w:r w:rsidRPr="00CB3855">
              <w:rPr>
                <w:rFonts w:cs="Arial"/>
                <w:sz w:val="18"/>
                <w:szCs w:val="18"/>
                <w:lang w:eastAsia="cs-CZ"/>
              </w:rPr>
              <w:t>Postupné budování zpracovatelských kapacit v oblasti recyklace by mělo být nastartováno a podpořeno v rámci předchozích aktivit programu RE:START. Zatím však není vyřešena otázka zpracovatelských kapacit odpadu, který již nebude moci být dále recyklován a v současné době je skládkován.</w:t>
            </w:r>
          </w:p>
        </w:tc>
        <w:tc>
          <w:tcPr>
            <w:tcW w:w="2406" w:type="dxa"/>
          </w:tcPr>
          <w:p w14:paraId="66F7A79F" w14:textId="77777777" w:rsidR="00CB4A00" w:rsidRDefault="00CB4A00" w:rsidP="00C66961">
            <w:pPr>
              <w:jc w:val="both"/>
              <w:rPr>
                <w:rFonts w:cs="Arial"/>
                <w:sz w:val="18"/>
                <w:szCs w:val="18"/>
                <w:lang w:eastAsia="cs-CZ"/>
              </w:rPr>
            </w:pPr>
            <w:r w:rsidRPr="00CB3855">
              <w:rPr>
                <w:rFonts w:cs="Arial"/>
                <w:sz w:val="18"/>
                <w:szCs w:val="18"/>
                <w:lang w:eastAsia="cs-CZ"/>
              </w:rPr>
              <w:t>Kraj, města a obce, obyvatelé regionu</w:t>
            </w:r>
            <w:r>
              <w:rPr>
                <w:rFonts w:cs="Arial"/>
                <w:sz w:val="18"/>
                <w:szCs w:val="18"/>
                <w:lang w:eastAsia="cs-CZ"/>
              </w:rPr>
              <w:t>.</w:t>
            </w:r>
          </w:p>
        </w:tc>
        <w:tc>
          <w:tcPr>
            <w:tcW w:w="1482" w:type="dxa"/>
            <w:vAlign w:val="center"/>
          </w:tcPr>
          <w:p w14:paraId="45E67C44"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62BFFFE7" w14:textId="77777777" w:rsidTr="00C66961">
        <w:trPr>
          <w:jc w:val="center"/>
        </w:trPr>
        <w:tc>
          <w:tcPr>
            <w:tcW w:w="2547" w:type="dxa"/>
          </w:tcPr>
          <w:p w14:paraId="6EECB3BE" w14:textId="77777777" w:rsidR="00CB4A00" w:rsidRPr="00CB3855" w:rsidRDefault="00CB4A00" w:rsidP="00C66961">
            <w:pPr>
              <w:jc w:val="both"/>
              <w:rPr>
                <w:rFonts w:cs="Arial"/>
                <w:b/>
                <w:bCs/>
                <w:sz w:val="18"/>
                <w:szCs w:val="18"/>
                <w:lang w:eastAsia="cs-CZ"/>
              </w:rPr>
            </w:pPr>
            <w:r w:rsidRPr="00CB3855">
              <w:rPr>
                <w:rFonts w:cs="Arial"/>
                <w:b/>
                <w:bCs/>
                <w:sz w:val="18"/>
                <w:szCs w:val="18"/>
                <w:lang w:eastAsia="cs-CZ"/>
              </w:rPr>
              <w:t>MATECH</w:t>
            </w:r>
          </w:p>
          <w:p w14:paraId="09B86721" w14:textId="77777777" w:rsidR="00CB4A00" w:rsidRDefault="00CB4A00" w:rsidP="00C66961">
            <w:pPr>
              <w:jc w:val="both"/>
              <w:rPr>
                <w:rFonts w:cs="Arial"/>
                <w:sz w:val="18"/>
                <w:szCs w:val="18"/>
                <w:lang w:eastAsia="cs-CZ"/>
              </w:rPr>
            </w:pPr>
            <w:r w:rsidRPr="00CB3855">
              <w:rPr>
                <w:rFonts w:cs="Arial"/>
                <w:sz w:val="18"/>
                <w:szCs w:val="18"/>
                <w:lang w:eastAsia="cs-CZ"/>
              </w:rPr>
              <w:t xml:space="preserve">MATECH – materiály, technologie a chemie pro </w:t>
            </w:r>
            <w:r w:rsidRPr="00CB3855">
              <w:rPr>
                <w:rFonts w:cs="Arial"/>
                <w:sz w:val="18"/>
                <w:szCs w:val="18"/>
                <w:lang w:eastAsia="cs-CZ"/>
              </w:rPr>
              <w:lastRenderedPageBreak/>
              <w:t xml:space="preserve">kvalitní život. MATECH je projektem strategického partnerství pro využití a dobudování výzkumných kapacit zaměřených na současné globální výzvy v oblasti zdraví, životního prostředí a energetiky. Strategickým cílem projektu je posílení inovačního a konkurenceschopnosti Ústeckého regionu s důrazem na současné globální výzvy v životním prostředí s mezinárodním přesahem, pokud jde o význam výstupů. </w:t>
            </w:r>
            <w:proofErr w:type="gramStart"/>
            <w:r w:rsidRPr="00CB3855">
              <w:rPr>
                <w:rFonts w:cs="Arial"/>
                <w:sz w:val="18"/>
                <w:szCs w:val="18"/>
                <w:lang w:eastAsia="cs-CZ"/>
              </w:rPr>
              <w:t>Vytváří</w:t>
            </w:r>
            <w:proofErr w:type="gramEnd"/>
            <w:r w:rsidRPr="00CB3855">
              <w:rPr>
                <w:rFonts w:cs="Arial"/>
                <w:sz w:val="18"/>
                <w:szCs w:val="18"/>
                <w:lang w:eastAsia="cs-CZ"/>
              </w:rPr>
              <w:t xml:space="preserve"> podmínky pro posun zaměření velkoobjemového chemického průmyslu ke speciálním chemikáliím a nanomateriálům s vysokou přidanou hodnotou, což přispěje k celkovému rozvoji Ústeckého regionu.</w:t>
            </w:r>
          </w:p>
        </w:tc>
        <w:tc>
          <w:tcPr>
            <w:tcW w:w="1001" w:type="dxa"/>
          </w:tcPr>
          <w:p w14:paraId="02590E12" w14:textId="77777777" w:rsidR="00CB4A00" w:rsidRDefault="00CB4A00" w:rsidP="00C66961">
            <w:pPr>
              <w:jc w:val="both"/>
              <w:rPr>
                <w:rFonts w:cs="Arial"/>
                <w:sz w:val="18"/>
                <w:szCs w:val="18"/>
                <w:lang w:eastAsia="cs-CZ"/>
              </w:rPr>
            </w:pPr>
            <w:r w:rsidRPr="00CB3855">
              <w:rPr>
                <w:rFonts w:cs="Arial"/>
                <w:sz w:val="18"/>
                <w:szCs w:val="18"/>
                <w:lang w:eastAsia="cs-CZ"/>
              </w:rPr>
              <w:lastRenderedPageBreak/>
              <w:t>1 900 mil. Kč</w:t>
            </w:r>
          </w:p>
        </w:tc>
        <w:tc>
          <w:tcPr>
            <w:tcW w:w="1692" w:type="dxa"/>
            <w:gridSpan w:val="2"/>
          </w:tcPr>
          <w:p w14:paraId="2D7D7B0B" w14:textId="27370CE8" w:rsidR="00CB4A00" w:rsidRPr="00CB3855" w:rsidRDefault="009F5526" w:rsidP="00C66961">
            <w:pPr>
              <w:rPr>
                <w:rFonts w:cs="Arial"/>
                <w:sz w:val="18"/>
                <w:szCs w:val="18"/>
                <w:lang w:eastAsia="cs-CZ"/>
              </w:rPr>
            </w:pPr>
            <w:r>
              <w:rPr>
                <w:rFonts w:cs="Arial"/>
                <w:sz w:val="18"/>
                <w:szCs w:val="18"/>
                <w:lang w:eastAsia="cs-CZ"/>
              </w:rPr>
              <w:t xml:space="preserve">OPST </w:t>
            </w:r>
            <w:r w:rsidR="00CB4A00" w:rsidRPr="00CB3855">
              <w:rPr>
                <w:rFonts w:cs="Arial"/>
                <w:sz w:val="18"/>
                <w:szCs w:val="18"/>
                <w:lang w:eastAsia="cs-CZ"/>
              </w:rPr>
              <w:t>GA</w:t>
            </w:r>
            <w:r w:rsidR="00A86BCA">
              <w:rPr>
                <w:rFonts w:cs="Arial"/>
                <w:sz w:val="18"/>
                <w:szCs w:val="18"/>
                <w:lang w:eastAsia="cs-CZ"/>
              </w:rPr>
              <w:t xml:space="preserve"> </w:t>
            </w:r>
            <w:r w:rsidR="00CB4A00" w:rsidRPr="00CB3855">
              <w:rPr>
                <w:rFonts w:cs="Arial"/>
                <w:sz w:val="18"/>
                <w:szCs w:val="18"/>
                <w:lang w:eastAsia="cs-CZ"/>
              </w:rPr>
              <w:t>ČR, TA</w:t>
            </w:r>
            <w:r w:rsidR="0060056A">
              <w:rPr>
                <w:rFonts w:cs="Arial"/>
                <w:sz w:val="18"/>
                <w:szCs w:val="18"/>
                <w:lang w:eastAsia="cs-CZ"/>
              </w:rPr>
              <w:t xml:space="preserve"> </w:t>
            </w:r>
            <w:r w:rsidR="00CB4A00" w:rsidRPr="00CB3855">
              <w:rPr>
                <w:rFonts w:cs="Arial"/>
                <w:sz w:val="18"/>
                <w:szCs w:val="18"/>
                <w:lang w:eastAsia="cs-CZ"/>
              </w:rPr>
              <w:t xml:space="preserve">ČR, OP TAK, </w:t>
            </w:r>
            <w:r w:rsidRPr="00CB3855">
              <w:rPr>
                <w:rFonts w:cs="Arial"/>
                <w:sz w:val="18"/>
                <w:szCs w:val="18"/>
                <w:lang w:eastAsia="cs-CZ"/>
              </w:rPr>
              <w:t>OP</w:t>
            </w:r>
            <w:r>
              <w:rPr>
                <w:rFonts w:cs="Arial"/>
                <w:sz w:val="18"/>
                <w:szCs w:val="18"/>
                <w:lang w:eastAsia="cs-CZ"/>
              </w:rPr>
              <w:t xml:space="preserve"> </w:t>
            </w:r>
            <w:r w:rsidRPr="00CB3855">
              <w:rPr>
                <w:rFonts w:cs="Arial"/>
                <w:sz w:val="18"/>
                <w:szCs w:val="18"/>
                <w:lang w:eastAsia="cs-CZ"/>
              </w:rPr>
              <w:t xml:space="preserve">JAK </w:t>
            </w:r>
            <w:r>
              <w:rPr>
                <w:rFonts w:cs="Arial"/>
                <w:sz w:val="18"/>
                <w:szCs w:val="18"/>
                <w:lang w:eastAsia="cs-CZ"/>
              </w:rPr>
              <w:br/>
            </w:r>
            <w:r w:rsidRPr="00CB3855">
              <w:rPr>
                <w:rFonts w:cs="Arial"/>
                <w:sz w:val="18"/>
                <w:szCs w:val="18"/>
                <w:lang w:eastAsia="cs-CZ"/>
              </w:rPr>
              <w:lastRenderedPageBreak/>
              <w:t>(v závislosti na podmínkách a nastavení programu</w:t>
            </w:r>
            <w:r w:rsidR="00A86BCA" w:rsidRPr="00CB3855">
              <w:rPr>
                <w:rFonts w:cs="Arial"/>
                <w:sz w:val="18"/>
                <w:szCs w:val="18"/>
                <w:lang w:eastAsia="cs-CZ"/>
              </w:rPr>
              <w:t>),</w:t>
            </w:r>
          </w:p>
          <w:p w14:paraId="41E618CF" w14:textId="77777777" w:rsidR="00CB4A00" w:rsidRDefault="00CB4A00" w:rsidP="00C66961">
            <w:pPr>
              <w:jc w:val="both"/>
              <w:rPr>
                <w:rFonts w:cs="Arial"/>
                <w:sz w:val="18"/>
                <w:szCs w:val="18"/>
                <w:lang w:eastAsia="cs-CZ"/>
              </w:rPr>
            </w:pPr>
            <w:r w:rsidRPr="00CB3855">
              <w:rPr>
                <w:rFonts w:cs="Arial"/>
                <w:sz w:val="18"/>
                <w:szCs w:val="18"/>
                <w:lang w:eastAsia="cs-CZ"/>
              </w:rPr>
              <w:t>Mezinárodní programy</w:t>
            </w:r>
          </w:p>
        </w:tc>
        <w:tc>
          <w:tcPr>
            <w:tcW w:w="2748" w:type="dxa"/>
            <w:gridSpan w:val="2"/>
          </w:tcPr>
          <w:p w14:paraId="33529671" w14:textId="77777777" w:rsidR="00CB4A00" w:rsidRDefault="00CB4A00" w:rsidP="00C66961">
            <w:pPr>
              <w:jc w:val="both"/>
              <w:rPr>
                <w:rFonts w:cs="Arial"/>
                <w:sz w:val="18"/>
                <w:szCs w:val="18"/>
                <w:lang w:eastAsia="cs-CZ"/>
              </w:rPr>
            </w:pPr>
            <w:r w:rsidRPr="006C3B60">
              <w:rPr>
                <w:rFonts w:cs="Arial"/>
                <w:sz w:val="18"/>
                <w:szCs w:val="18"/>
                <w:lang w:eastAsia="cs-CZ"/>
              </w:rPr>
              <w:lastRenderedPageBreak/>
              <w:t xml:space="preserve">Přispěje k čistým zdrojům energie, zvýšení atraktivity regionu, transformace </w:t>
            </w:r>
            <w:r w:rsidRPr="006C3B60">
              <w:rPr>
                <w:rFonts w:cs="Arial"/>
                <w:sz w:val="18"/>
                <w:szCs w:val="18"/>
                <w:lang w:eastAsia="cs-CZ"/>
              </w:rPr>
              <w:lastRenderedPageBreak/>
              <w:t>hospodářství regionu. Projekt posiluje výzkumnou a vědeckou kapacitu regionu v definované doméně inteligentní specializace, jíž je anorganická chemie. Jedná se o posun znalostní báze směrem k moderním progresivním trendům a technologiím, které umožní hledání nových růstových příležitostí v tradičních oborech.</w:t>
            </w:r>
          </w:p>
        </w:tc>
        <w:tc>
          <w:tcPr>
            <w:tcW w:w="2163" w:type="dxa"/>
          </w:tcPr>
          <w:p w14:paraId="02622D58" w14:textId="77777777" w:rsidR="00CB4A00" w:rsidRDefault="00CB4A00" w:rsidP="00C66961">
            <w:pPr>
              <w:jc w:val="both"/>
              <w:rPr>
                <w:rFonts w:cs="Arial"/>
                <w:sz w:val="18"/>
                <w:szCs w:val="18"/>
                <w:lang w:eastAsia="cs-CZ"/>
              </w:rPr>
            </w:pPr>
            <w:r w:rsidRPr="006C3B60">
              <w:rPr>
                <w:rFonts w:cs="Arial"/>
                <w:sz w:val="18"/>
                <w:szCs w:val="18"/>
                <w:lang w:eastAsia="cs-CZ"/>
              </w:rPr>
              <w:lastRenderedPageBreak/>
              <w:t xml:space="preserve">Rozvoj vybraných specializací technických, </w:t>
            </w:r>
            <w:r w:rsidRPr="006C3B60">
              <w:rPr>
                <w:rFonts w:cs="Arial"/>
                <w:sz w:val="18"/>
                <w:szCs w:val="18"/>
                <w:lang w:eastAsia="cs-CZ"/>
              </w:rPr>
              <w:lastRenderedPageBreak/>
              <w:t>přírodovědných a společenskovědních výzkumných týmů na UJEP. Rozšiřovat a posilovat odborně i kapacitně existující vědecké týmy a jejich odborné zázemí. Včetně výzkumných partnerství se zahraničními pracovišti a mezinárodní mobility VaV pracovníků a</w:t>
            </w:r>
            <w:r>
              <w:rPr>
                <w:rFonts w:cs="Arial"/>
                <w:sz w:val="18"/>
                <w:szCs w:val="18"/>
                <w:lang w:eastAsia="cs-CZ"/>
              </w:rPr>
              <w:t xml:space="preserve"> studentů.</w:t>
            </w:r>
          </w:p>
        </w:tc>
        <w:tc>
          <w:tcPr>
            <w:tcW w:w="2406" w:type="dxa"/>
          </w:tcPr>
          <w:p w14:paraId="0B72369B" w14:textId="77777777" w:rsidR="00CB4A00" w:rsidRDefault="00CB4A00" w:rsidP="00C66961">
            <w:pPr>
              <w:jc w:val="both"/>
              <w:rPr>
                <w:rFonts w:cs="Arial"/>
                <w:sz w:val="18"/>
                <w:szCs w:val="18"/>
                <w:lang w:eastAsia="cs-CZ"/>
              </w:rPr>
            </w:pPr>
            <w:r w:rsidRPr="006C3B60">
              <w:rPr>
                <w:rFonts w:cs="Arial"/>
                <w:sz w:val="18"/>
                <w:szCs w:val="18"/>
                <w:lang w:eastAsia="cs-CZ"/>
              </w:rPr>
              <w:lastRenderedPageBreak/>
              <w:t>Cílové skupiny – vědecké instituce a vědečtí pracovníci, studenti.</w:t>
            </w:r>
            <w:r>
              <w:rPr>
                <w:rFonts w:cs="Arial"/>
                <w:sz w:val="18"/>
                <w:szCs w:val="18"/>
                <w:lang w:eastAsia="cs-CZ"/>
              </w:rPr>
              <w:t xml:space="preserve"> </w:t>
            </w:r>
          </w:p>
        </w:tc>
        <w:tc>
          <w:tcPr>
            <w:tcW w:w="1482" w:type="dxa"/>
            <w:vAlign w:val="center"/>
          </w:tcPr>
          <w:p w14:paraId="37A57D2D" w14:textId="77777777" w:rsidR="00CB4A00" w:rsidRDefault="00CB4A00" w:rsidP="00C66961">
            <w:pPr>
              <w:jc w:val="center"/>
              <w:rPr>
                <w:rFonts w:cs="Arial"/>
                <w:sz w:val="18"/>
                <w:szCs w:val="18"/>
                <w:lang w:eastAsia="cs-CZ"/>
              </w:rPr>
            </w:pPr>
            <w:r w:rsidRPr="006C3B60">
              <w:rPr>
                <w:rFonts w:cs="Arial"/>
                <w:sz w:val="18"/>
                <w:szCs w:val="18"/>
                <w:lang w:eastAsia="cs-CZ"/>
              </w:rPr>
              <w:t>R.U.R. – realizace části projektu</w:t>
            </w:r>
          </w:p>
        </w:tc>
      </w:tr>
      <w:tr w:rsidR="00CB4A00" w14:paraId="4BC5D1E9" w14:textId="77777777" w:rsidTr="00C66961">
        <w:trPr>
          <w:jc w:val="center"/>
        </w:trPr>
        <w:tc>
          <w:tcPr>
            <w:tcW w:w="2547" w:type="dxa"/>
          </w:tcPr>
          <w:p w14:paraId="7AC9264B" w14:textId="77777777" w:rsidR="00CB4A00" w:rsidRPr="006C3B60" w:rsidRDefault="00CB4A00" w:rsidP="00C66961">
            <w:pPr>
              <w:jc w:val="both"/>
              <w:rPr>
                <w:rFonts w:cs="Arial"/>
                <w:b/>
                <w:bCs/>
                <w:sz w:val="18"/>
                <w:szCs w:val="18"/>
                <w:lang w:eastAsia="cs-CZ"/>
              </w:rPr>
            </w:pPr>
            <w:r w:rsidRPr="006C3B60">
              <w:rPr>
                <w:rFonts w:cs="Arial"/>
                <w:sz w:val="18"/>
                <w:szCs w:val="18"/>
                <w:lang w:eastAsia="cs-CZ"/>
              </w:rPr>
              <w:t xml:space="preserve">(Národní) </w:t>
            </w:r>
            <w:r w:rsidRPr="006C3B60">
              <w:rPr>
                <w:rFonts w:cs="Arial"/>
                <w:b/>
                <w:bCs/>
                <w:sz w:val="18"/>
                <w:szCs w:val="18"/>
                <w:lang w:eastAsia="cs-CZ"/>
              </w:rPr>
              <w:t>Centrum pro geoenergie</w:t>
            </w:r>
          </w:p>
          <w:p w14:paraId="11CF023C" w14:textId="77777777" w:rsidR="00CB4A00" w:rsidRPr="006C3B60" w:rsidRDefault="00CB4A00" w:rsidP="00C66961">
            <w:pPr>
              <w:jc w:val="both"/>
              <w:rPr>
                <w:rFonts w:cs="Arial"/>
                <w:sz w:val="18"/>
                <w:szCs w:val="18"/>
                <w:lang w:eastAsia="cs-CZ"/>
              </w:rPr>
            </w:pPr>
            <w:r w:rsidRPr="006C3B60">
              <w:rPr>
                <w:rFonts w:cs="Arial"/>
                <w:sz w:val="18"/>
                <w:szCs w:val="18"/>
                <w:lang w:eastAsia="cs-CZ"/>
              </w:rPr>
              <w:t xml:space="preserve">Cílem projektu je vytvořit vysoce kvalifikované centrum pro využití energie horninového prostředí, a to jako zdroje energie i prostředí pro její akumulaci. Centrum navazuje na výzkumnou infrastrukturu RINGEN v Litoměřicích (výzkum hlubinné geotermální energie), kterou rozšiřuje o </w:t>
            </w:r>
            <w:r w:rsidRPr="006C3B60">
              <w:rPr>
                <w:rFonts w:cs="Arial"/>
                <w:sz w:val="18"/>
                <w:szCs w:val="18"/>
                <w:lang w:eastAsia="cs-CZ"/>
              </w:rPr>
              <w:lastRenderedPageBreak/>
              <w:t>nové segmenty – střední a mělkou</w:t>
            </w:r>
          </w:p>
          <w:p w14:paraId="4D957C5B" w14:textId="77777777" w:rsidR="00CB4A00" w:rsidRPr="006C3B60" w:rsidRDefault="00CB4A00" w:rsidP="00C66961">
            <w:pPr>
              <w:jc w:val="both"/>
              <w:rPr>
                <w:rFonts w:cs="Arial"/>
                <w:sz w:val="18"/>
                <w:szCs w:val="18"/>
                <w:lang w:eastAsia="cs-CZ"/>
              </w:rPr>
            </w:pPr>
            <w:r w:rsidRPr="006C3B60">
              <w:rPr>
                <w:rFonts w:cs="Arial"/>
                <w:sz w:val="18"/>
                <w:szCs w:val="18"/>
                <w:lang w:eastAsia="cs-CZ"/>
              </w:rPr>
              <w:t>geotermální energii</w:t>
            </w:r>
            <w:r>
              <w:rPr>
                <w:rFonts w:cs="Arial"/>
                <w:sz w:val="18"/>
                <w:szCs w:val="18"/>
                <w:lang w:eastAsia="cs-CZ"/>
              </w:rPr>
              <w:t xml:space="preserve"> </w:t>
            </w:r>
            <w:r w:rsidRPr="006C3B60">
              <w:rPr>
                <w:rFonts w:cs="Arial"/>
                <w:sz w:val="18"/>
                <w:szCs w:val="18"/>
                <w:lang w:eastAsia="cs-CZ"/>
              </w:rPr>
              <w:t>s využitím tepelných čerpadel, akumulaci energie a kombinaci s dalšími obnovitelnými</w:t>
            </w:r>
          </w:p>
          <w:p w14:paraId="7AD0909D" w14:textId="77777777" w:rsidR="00CB4A00" w:rsidRPr="006C3B60" w:rsidRDefault="00CB4A00" w:rsidP="00C66961">
            <w:pPr>
              <w:jc w:val="both"/>
              <w:rPr>
                <w:rFonts w:cs="Arial"/>
                <w:sz w:val="18"/>
                <w:szCs w:val="18"/>
                <w:lang w:eastAsia="cs-CZ"/>
              </w:rPr>
            </w:pPr>
            <w:r w:rsidRPr="006C3B60">
              <w:rPr>
                <w:rFonts w:cs="Arial"/>
                <w:sz w:val="18"/>
                <w:szCs w:val="18"/>
                <w:lang w:eastAsia="cs-CZ"/>
              </w:rPr>
              <w:t>zdroji energie (OZE), zejm. solární energií.</w:t>
            </w:r>
          </w:p>
          <w:p w14:paraId="2E48C3E8" w14:textId="77777777" w:rsidR="00CB4A00" w:rsidRPr="006C3B60" w:rsidRDefault="00CB4A00" w:rsidP="00C66961">
            <w:pPr>
              <w:jc w:val="both"/>
              <w:rPr>
                <w:rFonts w:cs="Arial"/>
                <w:sz w:val="18"/>
                <w:szCs w:val="18"/>
                <w:lang w:eastAsia="cs-CZ"/>
              </w:rPr>
            </w:pPr>
            <w:r w:rsidRPr="006C3B60">
              <w:rPr>
                <w:rFonts w:cs="Arial"/>
                <w:sz w:val="18"/>
                <w:szCs w:val="18"/>
                <w:lang w:eastAsia="cs-CZ"/>
              </w:rPr>
              <w:t>Centrum propojí obory celkem 7 akademických a vědeckých pracovišť (viz https://www.rin- gen.cz/cz/vyzkumna-infrastruktura/partneri), Centra UCEEB, VŠB-TUO a UJEP a komerčních subjektů z oblasti energetiky a teplárenství.</w:t>
            </w:r>
          </w:p>
          <w:p w14:paraId="38907246" w14:textId="77777777" w:rsidR="00CB4A00" w:rsidRPr="006C3B60" w:rsidRDefault="00CB4A00" w:rsidP="00C66961">
            <w:pPr>
              <w:jc w:val="both"/>
              <w:rPr>
                <w:rFonts w:cs="Arial"/>
                <w:sz w:val="18"/>
                <w:szCs w:val="18"/>
                <w:lang w:eastAsia="cs-CZ"/>
              </w:rPr>
            </w:pPr>
            <w:r w:rsidRPr="006C3B60">
              <w:rPr>
                <w:rFonts w:cs="Arial"/>
                <w:sz w:val="18"/>
                <w:szCs w:val="18"/>
                <w:lang w:eastAsia="cs-CZ"/>
              </w:rPr>
              <w:t>Dílčími cíli jsou: experimentálně</w:t>
            </w:r>
            <w:r>
              <w:rPr>
                <w:rFonts w:cs="Arial"/>
                <w:sz w:val="18"/>
                <w:szCs w:val="18"/>
                <w:lang w:eastAsia="cs-CZ"/>
              </w:rPr>
              <w:t xml:space="preserve"> </w:t>
            </w:r>
            <w:r w:rsidRPr="006C3B60">
              <w:rPr>
                <w:rFonts w:cs="Arial"/>
                <w:sz w:val="18"/>
                <w:szCs w:val="18"/>
                <w:lang w:eastAsia="cs-CZ"/>
              </w:rPr>
              <w:t xml:space="preserve">ověřit možnosti </w:t>
            </w:r>
          </w:p>
          <w:p w14:paraId="187CBCDA" w14:textId="77777777" w:rsidR="00CB4A00" w:rsidRPr="006C3B60" w:rsidRDefault="00CB4A00" w:rsidP="00C66961">
            <w:pPr>
              <w:jc w:val="both"/>
              <w:rPr>
                <w:rFonts w:cs="Arial"/>
                <w:sz w:val="18"/>
                <w:szCs w:val="18"/>
                <w:lang w:eastAsia="cs-CZ"/>
              </w:rPr>
            </w:pPr>
            <w:r w:rsidRPr="006C3B60">
              <w:rPr>
                <w:rFonts w:cs="Arial"/>
                <w:sz w:val="18"/>
                <w:szCs w:val="18"/>
                <w:lang w:eastAsia="cs-CZ"/>
              </w:rPr>
              <w:t xml:space="preserve">1/ jímání zemského tepla z různých hloubek, </w:t>
            </w:r>
          </w:p>
          <w:p w14:paraId="0465AD5F" w14:textId="77777777" w:rsidR="00CB4A00" w:rsidRPr="006C3B60" w:rsidRDefault="00CB4A00" w:rsidP="00C66961">
            <w:pPr>
              <w:jc w:val="both"/>
              <w:rPr>
                <w:rFonts w:cs="Arial"/>
                <w:sz w:val="18"/>
                <w:szCs w:val="18"/>
                <w:lang w:eastAsia="cs-CZ"/>
              </w:rPr>
            </w:pPr>
            <w:r w:rsidRPr="006C3B60">
              <w:rPr>
                <w:rFonts w:cs="Arial"/>
                <w:sz w:val="18"/>
                <w:szCs w:val="18"/>
                <w:lang w:eastAsia="cs-CZ"/>
              </w:rPr>
              <w:t xml:space="preserve">2/ technologie akumulace energie do horninového prostředí a jejího zpětného získávání a </w:t>
            </w:r>
          </w:p>
          <w:p w14:paraId="4BB8D580" w14:textId="77777777" w:rsidR="00CB4A00" w:rsidRPr="006C3B60" w:rsidRDefault="00CB4A00" w:rsidP="00C66961">
            <w:pPr>
              <w:jc w:val="both"/>
              <w:rPr>
                <w:rFonts w:cs="Arial"/>
                <w:sz w:val="18"/>
                <w:szCs w:val="18"/>
                <w:lang w:eastAsia="cs-CZ"/>
              </w:rPr>
            </w:pPr>
            <w:r w:rsidRPr="006C3B60">
              <w:rPr>
                <w:rFonts w:cs="Arial"/>
                <w:sz w:val="18"/>
                <w:szCs w:val="18"/>
                <w:lang w:eastAsia="cs-CZ"/>
              </w:rPr>
              <w:t>3/ integraci dalších OZE.</w:t>
            </w:r>
          </w:p>
          <w:p w14:paraId="0CE36DFD" w14:textId="77777777" w:rsidR="00CB4A00" w:rsidRPr="006C3B60" w:rsidRDefault="00CB4A00" w:rsidP="00C66961">
            <w:pPr>
              <w:jc w:val="both"/>
              <w:rPr>
                <w:rFonts w:cs="Arial"/>
                <w:sz w:val="18"/>
                <w:szCs w:val="18"/>
                <w:lang w:eastAsia="cs-CZ"/>
              </w:rPr>
            </w:pPr>
          </w:p>
          <w:p w14:paraId="0BFF3843" w14:textId="77777777" w:rsidR="00CB4A00" w:rsidRPr="006C3B60" w:rsidRDefault="00CB4A00" w:rsidP="00C66961">
            <w:pPr>
              <w:jc w:val="both"/>
              <w:rPr>
                <w:rFonts w:cs="Arial"/>
                <w:sz w:val="18"/>
                <w:szCs w:val="18"/>
                <w:lang w:eastAsia="cs-CZ"/>
              </w:rPr>
            </w:pPr>
            <w:r w:rsidRPr="006C3B60">
              <w:rPr>
                <w:rFonts w:cs="Arial"/>
                <w:sz w:val="18"/>
                <w:szCs w:val="18"/>
                <w:lang w:eastAsia="cs-CZ"/>
              </w:rPr>
              <w:t>Hlavními výsledky budou:</w:t>
            </w:r>
          </w:p>
          <w:p w14:paraId="591E2267" w14:textId="77777777" w:rsidR="00CB4A00" w:rsidRPr="006C3B60" w:rsidRDefault="00CB4A00" w:rsidP="00C66961">
            <w:pPr>
              <w:jc w:val="both"/>
              <w:rPr>
                <w:rFonts w:cs="Arial"/>
                <w:sz w:val="18"/>
                <w:szCs w:val="18"/>
                <w:lang w:eastAsia="cs-CZ"/>
              </w:rPr>
            </w:pPr>
            <w:r>
              <w:rPr>
                <w:rFonts w:cs="Arial"/>
                <w:sz w:val="18"/>
                <w:szCs w:val="18"/>
                <w:lang w:eastAsia="cs-CZ"/>
              </w:rPr>
              <w:t xml:space="preserve">a) </w:t>
            </w:r>
            <w:r w:rsidRPr="006C3B60">
              <w:rPr>
                <w:rFonts w:cs="Arial"/>
                <w:sz w:val="18"/>
                <w:szCs w:val="18"/>
                <w:lang w:eastAsia="cs-CZ"/>
              </w:rPr>
              <w:t>pilotní hlubinný geotermální výměník;</w:t>
            </w:r>
          </w:p>
          <w:p w14:paraId="741AAEDE" w14:textId="77777777" w:rsidR="00CB4A00" w:rsidRDefault="00CB4A00" w:rsidP="00C66961">
            <w:pPr>
              <w:jc w:val="both"/>
              <w:rPr>
                <w:rFonts w:cs="Arial"/>
                <w:sz w:val="18"/>
                <w:szCs w:val="18"/>
                <w:lang w:eastAsia="cs-CZ"/>
              </w:rPr>
            </w:pPr>
            <w:r w:rsidRPr="006C3B60">
              <w:rPr>
                <w:rFonts w:cs="Arial"/>
                <w:sz w:val="18"/>
                <w:szCs w:val="18"/>
                <w:lang w:eastAsia="cs-CZ"/>
              </w:rPr>
              <w:t>b)</w:t>
            </w:r>
            <w:r>
              <w:rPr>
                <w:rFonts w:cs="Arial"/>
                <w:sz w:val="18"/>
                <w:szCs w:val="18"/>
                <w:lang w:eastAsia="cs-CZ"/>
              </w:rPr>
              <w:t xml:space="preserve"> </w:t>
            </w:r>
            <w:r w:rsidRPr="006C3B60">
              <w:rPr>
                <w:rFonts w:cs="Arial"/>
                <w:sz w:val="18"/>
                <w:szCs w:val="18"/>
                <w:lang w:eastAsia="cs-CZ"/>
              </w:rPr>
              <w:t>experimentální akumulační systém různě hlubokých termovrtů;</w:t>
            </w:r>
          </w:p>
          <w:p w14:paraId="3EB3789A" w14:textId="506FF0BE" w:rsidR="00CB4A00" w:rsidRDefault="00CB4A00" w:rsidP="00C66961">
            <w:pPr>
              <w:jc w:val="both"/>
              <w:rPr>
                <w:rFonts w:cs="Arial"/>
                <w:sz w:val="18"/>
                <w:szCs w:val="18"/>
                <w:lang w:eastAsia="cs-CZ"/>
              </w:rPr>
            </w:pPr>
            <w:r>
              <w:rPr>
                <w:rFonts w:cs="Arial"/>
                <w:sz w:val="18"/>
                <w:szCs w:val="18"/>
                <w:lang w:eastAsia="cs-CZ"/>
              </w:rPr>
              <w:t xml:space="preserve">c) </w:t>
            </w:r>
            <w:r w:rsidRPr="006C3B60">
              <w:rPr>
                <w:rFonts w:cs="Arial"/>
                <w:sz w:val="18"/>
                <w:szCs w:val="18"/>
                <w:lang w:eastAsia="cs-CZ"/>
              </w:rPr>
              <w:t>integrace solární energie s využitím hybridních (chlazených) fotovoltaických</w:t>
            </w:r>
            <w:r w:rsidRPr="006C3B60">
              <w:rPr>
                <w:rFonts w:cs="Arial"/>
                <w:sz w:val="18"/>
                <w:szCs w:val="18"/>
                <w:lang w:eastAsia="cs-CZ"/>
              </w:rPr>
              <w:lastRenderedPageBreak/>
              <w:tab/>
              <w:t>panelů umožňujících generovat teplo i elektřinu a jejich ukládání do horninového prostředí a jejich zpětný odběr;</w:t>
            </w:r>
          </w:p>
          <w:p w14:paraId="062692D3" w14:textId="77777777" w:rsidR="00CB4A00" w:rsidRDefault="00CB4A00" w:rsidP="00C66961">
            <w:pPr>
              <w:jc w:val="both"/>
              <w:rPr>
                <w:rFonts w:cs="Arial"/>
                <w:sz w:val="18"/>
                <w:szCs w:val="18"/>
                <w:lang w:eastAsia="cs-CZ"/>
              </w:rPr>
            </w:pPr>
            <w:r>
              <w:rPr>
                <w:rFonts w:cs="Arial"/>
                <w:sz w:val="18"/>
                <w:szCs w:val="18"/>
                <w:lang w:eastAsia="cs-CZ"/>
              </w:rPr>
              <w:t xml:space="preserve">d) </w:t>
            </w:r>
            <w:r w:rsidRPr="006C3B60">
              <w:rPr>
                <w:rFonts w:cs="Arial"/>
                <w:sz w:val="18"/>
                <w:szCs w:val="18"/>
                <w:lang w:eastAsia="cs-CZ"/>
              </w:rPr>
              <w:t>unikátní databáze a empirická data z reálného prostředí, která budou sloužit pro vytvoření konkrétních metodik a optimalizovaných postupů pro využívání všech typů geotermální energie</w:t>
            </w:r>
            <w:r>
              <w:rPr>
                <w:rFonts w:cs="Arial"/>
                <w:sz w:val="18"/>
                <w:szCs w:val="18"/>
                <w:lang w:eastAsia="cs-CZ"/>
              </w:rPr>
              <w:t>.</w:t>
            </w:r>
          </w:p>
        </w:tc>
        <w:tc>
          <w:tcPr>
            <w:tcW w:w="1001" w:type="dxa"/>
          </w:tcPr>
          <w:p w14:paraId="10DB6B31" w14:textId="77777777" w:rsidR="00CB4A00" w:rsidRDefault="00CB4A00" w:rsidP="00C66961">
            <w:pPr>
              <w:jc w:val="both"/>
              <w:rPr>
                <w:rFonts w:cs="Arial"/>
                <w:sz w:val="18"/>
                <w:szCs w:val="18"/>
                <w:lang w:eastAsia="cs-CZ"/>
              </w:rPr>
            </w:pPr>
            <w:r w:rsidRPr="006C3B60">
              <w:rPr>
                <w:rFonts w:cs="Arial"/>
                <w:sz w:val="18"/>
                <w:szCs w:val="18"/>
                <w:lang w:eastAsia="cs-CZ"/>
              </w:rPr>
              <w:lastRenderedPageBreak/>
              <w:t>150-300 mil. Kč</w:t>
            </w:r>
          </w:p>
        </w:tc>
        <w:tc>
          <w:tcPr>
            <w:tcW w:w="1692" w:type="dxa"/>
            <w:gridSpan w:val="2"/>
          </w:tcPr>
          <w:p w14:paraId="4CABF5AA" w14:textId="74127AA9" w:rsidR="00CB4A00" w:rsidRDefault="00CB4A00" w:rsidP="00C66961">
            <w:pPr>
              <w:jc w:val="both"/>
              <w:rPr>
                <w:rFonts w:cs="Arial"/>
                <w:sz w:val="18"/>
                <w:szCs w:val="18"/>
                <w:lang w:eastAsia="cs-CZ"/>
              </w:rPr>
            </w:pPr>
            <w:r w:rsidRPr="006C3B60">
              <w:rPr>
                <w:rFonts w:cs="Arial"/>
                <w:sz w:val="18"/>
                <w:szCs w:val="18"/>
                <w:lang w:eastAsia="cs-CZ"/>
              </w:rPr>
              <w:t>TA</w:t>
            </w:r>
            <w:r w:rsidR="0060056A">
              <w:rPr>
                <w:rFonts w:cs="Arial"/>
                <w:sz w:val="18"/>
                <w:szCs w:val="18"/>
                <w:lang w:eastAsia="cs-CZ"/>
              </w:rPr>
              <w:t xml:space="preserve"> </w:t>
            </w:r>
            <w:r w:rsidRPr="006C3B60">
              <w:rPr>
                <w:rFonts w:cs="Arial"/>
                <w:sz w:val="18"/>
                <w:szCs w:val="18"/>
                <w:lang w:eastAsia="cs-CZ"/>
              </w:rPr>
              <w:t>ČR – Národní centra kompetence; OP ST; Inovační fond EK; Modernizační fond ČR</w:t>
            </w:r>
          </w:p>
        </w:tc>
        <w:tc>
          <w:tcPr>
            <w:tcW w:w="2748" w:type="dxa"/>
            <w:gridSpan w:val="2"/>
          </w:tcPr>
          <w:p w14:paraId="7BFC63CE" w14:textId="77777777" w:rsidR="00CB4A00" w:rsidRPr="006C3B60" w:rsidRDefault="00CB4A00" w:rsidP="00C66961">
            <w:pPr>
              <w:jc w:val="both"/>
              <w:rPr>
                <w:rFonts w:cs="Arial"/>
                <w:sz w:val="18"/>
                <w:szCs w:val="18"/>
                <w:lang w:eastAsia="cs-CZ"/>
              </w:rPr>
            </w:pPr>
            <w:r w:rsidRPr="006C3B60">
              <w:rPr>
                <w:rFonts w:cs="Arial"/>
                <w:sz w:val="18"/>
                <w:szCs w:val="18"/>
                <w:lang w:eastAsia="cs-CZ"/>
              </w:rPr>
              <w:t xml:space="preserve">Projekt přispěje k vytvoření funkčních pilotních zdrojů energie a jejich dlouhodobý monitoring pro získání klíčových provozních dat. Vytvoření odborné základny pro vyhledávání a ověřování potenciálních lokalit pro využití geotermální energie v ÚK, ČR i zahraničí. Nové technologické přístupy pro průzkum a monitoring geologického prostředí pro energetické účely, těžbu nerostných surovin a </w:t>
            </w:r>
            <w:r w:rsidRPr="006C3B60">
              <w:rPr>
                <w:rFonts w:cs="Arial"/>
                <w:sz w:val="18"/>
                <w:szCs w:val="18"/>
                <w:lang w:eastAsia="cs-CZ"/>
              </w:rPr>
              <w:lastRenderedPageBreak/>
              <w:t>zvyšování bezpečnosti infrastrukturních staveb (tunely, mosty, přehrady, podzemní stavby apod.);</w:t>
            </w:r>
          </w:p>
          <w:p w14:paraId="1C8DC901" w14:textId="77777777" w:rsidR="00CB4A00" w:rsidRPr="006C3B60" w:rsidRDefault="00CB4A00" w:rsidP="00C66961">
            <w:pPr>
              <w:jc w:val="both"/>
              <w:rPr>
                <w:rFonts w:cs="Arial"/>
                <w:sz w:val="18"/>
                <w:szCs w:val="18"/>
                <w:lang w:eastAsia="cs-CZ"/>
              </w:rPr>
            </w:pPr>
            <w:r w:rsidRPr="006C3B60">
              <w:rPr>
                <w:rFonts w:cs="Arial"/>
                <w:sz w:val="18"/>
                <w:szCs w:val="18"/>
                <w:lang w:eastAsia="cs-CZ"/>
              </w:rPr>
              <w:t>v) konzultační centrum pro veřejné a soukromé instituce jako potenciální investory do zdrojů GT energie. V dlouhodobé perspektivě zvýšení efektivity a bezpečnosti nových obnovitelných zdrojů energie a zvýšení jejich podílu na výrobě tepla a elektřiny zejména na komunální úrovni.</w:t>
            </w:r>
          </w:p>
          <w:p w14:paraId="0664E5E3" w14:textId="77777777" w:rsidR="00CB4A00" w:rsidRDefault="00CB4A00" w:rsidP="00C66961">
            <w:pPr>
              <w:jc w:val="both"/>
              <w:rPr>
                <w:rFonts w:cs="Arial"/>
                <w:sz w:val="18"/>
                <w:szCs w:val="18"/>
                <w:lang w:eastAsia="cs-CZ"/>
              </w:rPr>
            </w:pPr>
          </w:p>
        </w:tc>
        <w:tc>
          <w:tcPr>
            <w:tcW w:w="2163" w:type="dxa"/>
          </w:tcPr>
          <w:p w14:paraId="67D3E39E" w14:textId="77777777" w:rsidR="00CB4A00" w:rsidRDefault="00CB4A00" w:rsidP="00C66961">
            <w:pPr>
              <w:jc w:val="both"/>
              <w:rPr>
                <w:rFonts w:cs="Arial"/>
                <w:sz w:val="18"/>
                <w:szCs w:val="18"/>
                <w:lang w:eastAsia="cs-CZ"/>
              </w:rPr>
            </w:pPr>
            <w:r w:rsidRPr="006C3B60">
              <w:rPr>
                <w:rFonts w:cs="Arial"/>
                <w:sz w:val="18"/>
                <w:szCs w:val="18"/>
                <w:lang w:eastAsia="cs-CZ"/>
              </w:rPr>
              <w:lastRenderedPageBreak/>
              <w:t>Projekt přispěje k vytvoření dlouhodobě stabilní výzkumné a testovací lokality s širokým spektrem domácích a zahraničních odborníků v úzké vazbě na průmysl a firemní prostředí.</w:t>
            </w:r>
          </w:p>
        </w:tc>
        <w:tc>
          <w:tcPr>
            <w:tcW w:w="2406" w:type="dxa"/>
          </w:tcPr>
          <w:p w14:paraId="46D02068" w14:textId="77777777" w:rsidR="00CB4A00" w:rsidRDefault="00CB4A00" w:rsidP="00C66961">
            <w:pPr>
              <w:jc w:val="both"/>
              <w:rPr>
                <w:rFonts w:cs="Arial"/>
                <w:sz w:val="18"/>
                <w:szCs w:val="18"/>
                <w:lang w:eastAsia="cs-CZ"/>
              </w:rPr>
            </w:pPr>
            <w:r w:rsidRPr="006C3B60">
              <w:rPr>
                <w:rFonts w:cs="Arial"/>
                <w:sz w:val="18"/>
                <w:szCs w:val="18"/>
                <w:lang w:eastAsia="cs-CZ"/>
              </w:rPr>
              <w:t>Cílové skupiny – vědecké instituce a vědečtí pracovníci</w:t>
            </w:r>
          </w:p>
        </w:tc>
        <w:tc>
          <w:tcPr>
            <w:tcW w:w="1482" w:type="dxa"/>
            <w:vAlign w:val="center"/>
          </w:tcPr>
          <w:p w14:paraId="397800DC" w14:textId="77777777" w:rsidR="00CB4A00" w:rsidRDefault="00CB4A00" w:rsidP="00C66961">
            <w:pPr>
              <w:jc w:val="center"/>
              <w:rPr>
                <w:rFonts w:cs="Arial"/>
                <w:sz w:val="18"/>
                <w:szCs w:val="18"/>
                <w:lang w:eastAsia="cs-CZ"/>
              </w:rPr>
            </w:pPr>
            <w:r w:rsidRPr="006C3B60">
              <w:rPr>
                <w:rFonts w:cs="Arial"/>
                <w:sz w:val="18"/>
                <w:szCs w:val="18"/>
                <w:lang w:eastAsia="cs-CZ"/>
              </w:rPr>
              <w:t>GET Centre UJEP, SYNERGIS</w:t>
            </w:r>
          </w:p>
        </w:tc>
      </w:tr>
      <w:tr w:rsidR="00CB4A00" w14:paraId="0C0D09C4" w14:textId="77777777" w:rsidTr="00C66961">
        <w:trPr>
          <w:jc w:val="center"/>
        </w:trPr>
        <w:tc>
          <w:tcPr>
            <w:tcW w:w="14039" w:type="dxa"/>
            <w:gridSpan w:val="9"/>
            <w:shd w:val="clear" w:color="auto" w:fill="E2EFD9" w:themeFill="accent6" w:themeFillTint="33"/>
            <w:vAlign w:val="center"/>
          </w:tcPr>
          <w:p w14:paraId="7F12B740" w14:textId="77777777" w:rsidR="00CB4A00" w:rsidRPr="006C3B60" w:rsidRDefault="00CB4A00" w:rsidP="002E4092">
            <w:pPr>
              <w:pStyle w:val="Odstavecseseznamem"/>
              <w:numPr>
                <w:ilvl w:val="0"/>
                <w:numId w:val="7"/>
              </w:numPr>
              <w:jc w:val="center"/>
              <w:rPr>
                <w:rFonts w:cs="Arial"/>
                <w:b/>
                <w:bCs/>
                <w:sz w:val="18"/>
                <w:szCs w:val="18"/>
                <w:lang w:eastAsia="cs-CZ"/>
              </w:rPr>
            </w:pPr>
            <w:r w:rsidRPr="006C3B60">
              <w:rPr>
                <w:rFonts w:cs="Arial"/>
                <w:b/>
                <w:bCs/>
                <w:sz w:val="18"/>
                <w:szCs w:val="18"/>
                <w:lang w:eastAsia="cs-CZ"/>
              </w:rPr>
              <w:lastRenderedPageBreak/>
              <w:t>Bateriová úložiště – ČEZ</w:t>
            </w:r>
          </w:p>
        </w:tc>
      </w:tr>
      <w:tr w:rsidR="00CB4A00" w14:paraId="51ED5191" w14:textId="77777777" w:rsidTr="00C66961">
        <w:trPr>
          <w:jc w:val="center"/>
        </w:trPr>
        <w:tc>
          <w:tcPr>
            <w:tcW w:w="2547" w:type="dxa"/>
          </w:tcPr>
          <w:p w14:paraId="6B3C4CE3" w14:textId="77777777" w:rsidR="00CB4A00" w:rsidRDefault="00CB4A00" w:rsidP="00C66961">
            <w:pPr>
              <w:jc w:val="both"/>
              <w:rPr>
                <w:rFonts w:cs="Arial"/>
                <w:sz w:val="18"/>
                <w:szCs w:val="18"/>
                <w:lang w:eastAsia="cs-CZ"/>
              </w:rPr>
            </w:pPr>
            <w:r w:rsidRPr="007A6B4B">
              <w:rPr>
                <w:rFonts w:cs="Arial"/>
                <w:sz w:val="18"/>
                <w:szCs w:val="18"/>
                <w:lang w:eastAsia="cs-CZ"/>
              </w:rPr>
              <w:t>Využití lithia, bateriové zdroje – úložiště</w:t>
            </w:r>
          </w:p>
        </w:tc>
        <w:tc>
          <w:tcPr>
            <w:tcW w:w="1001" w:type="dxa"/>
          </w:tcPr>
          <w:p w14:paraId="035E9282" w14:textId="77777777" w:rsidR="00CB4A00" w:rsidRDefault="00CB4A00" w:rsidP="00C66961">
            <w:pPr>
              <w:jc w:val="both"/>
              <w:rPr>
                <w:rFonts w:cs="Arial"/>
                <w:sz w:val="18"/>
                <w:szCs w:val="18"/>
                <w:lang w:eastAsia="cs-CZ"/>
              </w:rPr>
            </w:pPr>
            <w:r w:rsidRPr="007A6B4B">
              <w:rPr>
                <w:rFonts w:cs="Arial"/>
                <w:sz w:val="18"/>
                <w:szCs w:val="18"/>
                <w:lang w:eastAsia="cs-CZ"/>
              </w:rPr>
              <w:t>40 000 mil. Kč</w:t>
            </w:r>
          </w:p>
        </w:tc>
        <w:tc>
          <w:tcPr>
            <w:tcW w:w="1692" w:type="dxa"/>
            <w:gridSpan w:val="2"/>
          </w:tcPr>
          <w:p w14:paraId="5E274A62" w14:textId="77777777" w:rsidR="00CB4A00" w:rsidRDefault="00CB4A00" w:rsidP="00C66961">
            <w:pPr>
              <w:jc w:val="both"/>
              <w:rPr>
                <w:rFonts w:cs="Arial"/>
                <w:sz w:val="18"/>
                <w:szCs w:val="18"/>
                <w:lang w:eastAsia="cs-CZ"/>
              </w:rPr>
            </w:pPr>
            <w:r w:rsidRPr="007A6B4B">
              <w:rPr>
                <w:rFonts w:cs="Arial"/>
                <w:sz w:val="18"/>
                <w:szCs w:val="18"/>
                <w:lang w:eastAsia="cs-CZ"/>
              </w:rPr>
              <w:t>OP ST, vlastní zdroje, příp. národní</w:t>
            </w:r>
          </w:p>
        </w:tc>
        <w:tc>
          <w:tcPr>
            <w:tcW w:w="2748" w:type="dxa"/>
            <w:gridSpan w:val="2"/>
          </w:tcPr>
          <w:p w14:paraId="245D848B" w14:textId="77777777" w:rsidR="00CB4A00" w:rsidRDefault="00CB4A00" w:rsidP="00C66961">
            <w:pPr>
              <w:jc w:val="both"/>
              <w:rPr>
                <w:rFonts w:cs="Arial"/>
                <w:sz w:val="18"/>
                <w:szCs w:val="18"/>
                <w:lang w:eastAsia="cs-CZ"/>
              </w:rPr>
            </w:pPr>
            <w:r w:rsidRPr="007A6B4B">
              <w:rPr>
                <w:rFonts w:cs="Arial"/>
                <w:sz w:val="18"/>
                <w:szCs w:val="18"/>
                <w:lang w:eastAsia="cs-CZ"/>
              </w:rPr>
              <w:t>Přispěje k čistým zdrojům energie, zvýšení atraktivity regionu, transformace hospodářství regionu.</w:t>
            </w:r>
          </w:p>
        </w:tc>
        <w:tc>
          <w:tcPr>
            <w:tcW w:w="2163" w:type="dxa"/>
          </w:tcPr>
          <w:p w14:paraId="32B29466" w14:textId="77777777" w:rsidR="00CB4A00" w:rsidRDefault="00CB4A00" w:rsidP="00C66961">
            <w:pPr>
              <w:jc w:val="both"/>
              <w:rPr>
                <w:rFonts w:cs="Arial"/>
                <w:sz w:val="18"/>
                <w:szCs w:val="18"/>
                <w:lang w:eastAsia="cs-CZ"/>
              </w:rPr>
            </w:pPr>
            <w:r w:rsidRPr="007A6B4B">
              <w:rPr>
                <w:rFonts w:cs="Arial"/>
                <w:sz w:val="18"/>
                <w:szCs w:val="18"/>
                <w:lang w:eastAsia="cs-CZ"/>
              </w:rPr>
              <w:t>Zvýšení počtu kompetentních zaměstnanců v technických oborech a měkkých dovednostech, snížení nezaměstnanosti.</w:t>
            </w:r>
          </w:p>
        </w:tc>
        <w:tc>
          <w:tcPr>
            <w:tcW w:w="2406" w:type="dxa"/>
          </w:tcPr>
          <w:p w14:paraId="07F3E6F9" w14:textId="77777777" w:rsidR="00CB4A00" w:rsidRDefault="00CB4A00" w:rsidP="00C66961">
            <w:pPr>
              <w:jc w:val="both"/>
              <w:rPr>
                <w:rFonts w:cs="Arial"/>
                <w:sz w:val="18"/>
                <w:szCs w:val="18"/>
                <w:lang w:eastAsia="cs-CZ"/>
              </w:rPr>
            </w:pPr>
            <w:r w:rsidRPr="007A6B4B">
              <w:rPr>
                <w:rFonts w:cs="Arial"/>
                <w:sz w:val="18"/>
                <w:szCs w:val="18"/>
                <w:lang w:eastAsia="cs-CZ"/>
              </w:rPr>
              <w:t>Kraj, města a obce, obyvatelé regionu</w:t>
            </w:r>
          </w:p>
        </w:tc>
        <w:tc>
          <w:tcPr>
            <w:tcW w:w="1482" w:type="dxa"/>
            <w:vAlign w:val="center"/>
          </w:tcPr>
          <w:p w14:paraId="32F090BC" w14:textId="77777777" w:rsidR="00CB4A00" w:rsidRDefault="00CB4A00" w:rsidP="00C66961">
            <w:pPr>
              <w:jc w:val="both"/>
              <w:rPr>
                <w:rFonts w:cs="Arial"/>
                <w:sz w:val="18"/>
                <w:szCs w:val="18"/>
                <w:lang w:eastAsia="cs-CZ"/>
              </w:rPr>
            </w:pPr>
            <w:r w:rsidRPr="007A6B4B">
              <w:rPr>
                <w:rFonts w:cs="Arial"/>
                <w:sz w:val="18"/>
                <w:szCs w:val="18"/>
                <w:lang w:eastAsia="cs-CZ"/>
              </w:rPr>
              <w:t>Gigafactory, Těžba lithia na Cínovci,</w:t>
            </w:r>
          </w:p>
        </w:tc>
      </w:tr>
      <w:tr w:rsidR="00CB4A00" w14:paraId="0E1ACA07" w14:textId="77777777" w:rsidTr="00C66961">
        <w:trPr>
          <w:jc w:val="center"/>
        </w:trPr>
        <w:tc>
          <w:tcPr>
            <w:tcW w:w="14039" w:type="dxa"/>
            <w:gridSpan w:val="9"/>
            <w:shd w:val="clear" w:color="auto" w:fill="E2EFD9" w:themeFill="accent6" w:themeFillTint="33"/>
            <w:vAlign w:val="center"/>
          </w:tcPr>
          <w:p w14:paraId="185EF647" w14:textId="77777777" w:rsidR="00CB4A00" w:rsidRPr="00071DB8" w:rsidRDefault="00CB4A00" w:rsidP="002E4092">
            <w:pPr>
              <w:pStyle w:val="Odstavecseseznamem"/>
              <w:numPr>
                <w:ilvl w:val="0"/>
                <w:numId w:val="7"/>
              </w:numPr>
              <w:jc w:val="center"/>
              <w:rPr>
                <w:rFonts w:cs="Arial"/>
                <w:b/>
                <w:bCs/>
                <w:sz w:val="18"/>
                <w:szCs w:val="18"/>
                <w:lang w:eastAsia="cs-CZ"/>
              </w:rPr>
            </w:pPr>
            <w:r w:rsidRPr="00071DB8">
              <w:rPr>
                <w:rFonts w:cs="Arial"/>
                <w:b/>
                <w:bCs/>
                <w:sz w:val="18"/>
                <w:szCs w:val="18"/>
                <w:lang w:eastAsia="cs-CZ"/>
              </w:rPr>
              <w:t>Testování autonomních systémů</w:t>
            </w:r>
          </w:p>
        </w:tc>
      </w:tr>
      <w:tr w:rsidR="00CB4A00" w14:paraId="5E2F71D6" w14:textId="77777777" w:rsidTr="00C66961">
        <w:trPr>
          <w:jc w:val="center"/>
        </w:trPr>
        <w:tc>
          <w:tcPr>
            <w:tcW w:w="2547" w:type="dxa"/>
          </w:tcPr>
          <w:p w14:paraId="34C525EA" w14:textId="77777777" w:rsidR="00CB4A00" w:rsidRPr="00071DB8" w:rsidRDefault="00CB4A00" w:rsidP="00C66961">
            <w:pPr>
              <w:jc w:val="both"/>
              <w:rPr>
                <w:rFonts w:cs="Arial"/>
                <w:sz w:val="18"/>
                <w:szCs w:val="18"/>
                <w:lang w:eastAsia="cs-CZ"/>
              </w:rPr>
            </w:pPr>
            <w:r w:rsidRPr="00071DB8">
              <w:rPr>
                <w:rFonts w:cs="Arial"/>
                <w:sz w:val="18"/>
                <w:szCs w:val="18"/>
                <w:lang w:eastAsia="cs-CZ"/>
              </w:rPr>
              <w:t>Realizace postupných kroků vč. zajištění institucionálního zázemí, které umožní realizovat na území kraje testování systémů autonomní mobility (nejen na úrovni pozemní, ale např. i letecké dopravy – autonomní drony). Projekt navazuje na výstupy studie pro rozvoj testování autonomní mobility, která byla zpracována KPMG pro město Ústí n</w:t>
            </w:r>
            <w:r>
              <w:rPr>
                <w:rFonts w:cs="Arial"/>
                <w:sz w:val="18"/>
                <w:szCs w:val="18"/>
                <w:lang w:eastAsia="cs-CZ"/>
              </w:rPr>
              <w:t>.</w:t>
            </w:r>
            <w:r w:rsidRPr="00071DB8">
              <w:rPr>
                <w:rFonts w:cs="Arial"/>
                <w:sz w:val="18"/>
                <w:szCs w:val="18"/>
                <w:lang w:eastAsia="cs-CZ"/>
              </w:rPr>
              <w:t xml:space="preserve"> L a která definuje pro rozvoj této oblasti nezbytné investice do VaV a jeho infrastrukturního a institucionálního zázemí. </w:t>
            </w:r>
            <w:r w:rsidRPr="00071DB8">
              <w:rPr>
                <w:rFonts w:cs="Arial"/>
                <w:sz w:val="18"/>
                <w:szCs w:val="18"/>
                <w:lang w:eastAsia="cs-CZ"/>
              </w:rPr>
              <w:lastRenderedPageBreak/>
              <w:t>Nyní jsou vybrány 2 okruhy v celkové délce přibližně 30 km.</w:t>
            </w:r>
          </w:p>
          <w:p w14:paraId="0A4C64C4" w14:textId="77777777" w:rsidR="00CB4A00" w:rsidRDefault="00CB4A00" w:rsidP="00C66961">
            <w:pPr>
              <w:jc w:val="both"/>
              <w:rPr>
                <w:rFonts w:cs="Arial"/>
                <w:sz w:val="18"/>
                <w:szCs w:val="18"/>
                <w:lang w:eastAsia="cs-CZ"/>
              </w:rPr>
            </w:pPr>
            <w:r w:rsidRPr="00071DB8">
              <w:rPr>
                <w:rFonts w:cs="Arial"/>
                <w:sz w:val="18"/>
                <w:szCs w:val="18"/>
                <w:lang w:eastAsia="cs-CZ"/>
              </w:rPr>
              <w:t xml:space="preserve">Přímé dopady: dopad na zkvalitnění životního prostředí, zvýšení image kraje ve vztahu k exkluzivitě řešené problematiky, migrace kvalitních lidských zdrojů do regionu v souvislosti s řešením </w:t>
            </w:r>
            <w:r>
              <w:rPr>
                <w:rFonts w:cs="Arial"/>
                <w:sz w:val="18"/>
                <w:szCs w:val="18"/>
                <w:lang w:eastAsia="cs-CZ"/>
              </w:rPr>
              <w:t xml:space="preserve">VaV </w:t>
            </w:r>
            <w:r w:rsidRPr="00071DB8">
              <w:rPr>
                <w:rFonts w:cs="Arial"/>
                <w:sz w:val="18"/>
                <w:szCs w:val="18"/>
                <w:lang w:eastAsia="cs-CZ"/>
              </w:rPr>
              <w:t>projektů, nové odvětví hospodářství nahrazující tradiční průmyslovou výrobu v kraji.</w:t>
            </w:r>
          </w:p>
        </w:tc>
        <w:tc>
          <w:tcPr>
            <w:tcW w:w="1001" w:type="dxa"/>
          </w:tcPr>
          <w:p w14:paraId="2FC2761E" w14:textId="77777777" w:rsidR="00CB4A00" w:rsidRDefault="00CB4A00" w:rsidP="00C66961">
            <w:pPr>
              <w:jc w:val="both"/>
              <w:rPr>
                <w:rFonts w:cs="Arial"/>
                <w:sz w:val="18"/>
                <w:szCs w:val="18"/>
                <w:lang w:eastAsia="cs-CZ"/>
              </w:rPr>
            </w:pPr>
            <w:r w:rsidRPr="00071DB8">
              <w:rPr>
                <w:rFonts w:cs="Arial"/>
                <w:sz w:val="18"/>
                <w:szCs w:val="18"/>
                <w:lang w:eastAsia="cs-CZ"/>
              </w:rPr>
              <w:lastRenderedPageBreak/>
              <w:t>120 mil. Kč</w:t>
            </w:r>
          </w:p>
        </w:tc>
        <w:tc>
          <w:tcPr>
            <w:tcW w:w="1692" w:type="dxa"/>
            <w:gridSpan w:val="2"/>
          </w:tcPr>
          <w:p w14:paraId="523A183E" w14:textId="03F88DA0" w:rsidR="00CB4A00" w:rsidRPr="00071DB8" w:rsidRDefault="00CB4A00" w:rsidP="00C66961">
            <w:pPr>
              <w:jc w:val="both"/>
              <w:rPr>
                <w:rFonts w:cs="Arial"/>
                <w:sz w:val="18"/>
                <w:szCs w:val="18"/>
                <w:lang w:eastAsia="cs-CZ"/>
              </w:rPr>
            </w:pPr>
            <w:r w:rsidRPr="00071DB8">
              <w:rPr>
                <w:rFonts w:cs="Arial"/>
                <w:sz w:val="18"/>
                <w:szCs w:val="18"/>
                <w:lang w:eastAsia="cs-CZ"/>
              </w:rPr>
              <w:t>EU fondy 2021+, TA</w:t>
            </w:r>
            <w:r w:rsidR="0060056A">
              <w:rPr>
                <w:rFonts w:cs="Arial"/>
                <w:sz w:val="18"/>
                <w:szCs w:val="18"/>
                <w:lang w:eastAsia="cs-CZ"/>
              </w:rPr>
              <w:t xml:space="preserve"> </w:t>
            </w:r>
            <w:r w:rsidRPr="00071DB8">
              <w:rPr>
                <w:rFonts w:cs="Arial"/>
                <w:sz w:val="18"/>
                <w:szCs w:val="18"/>
                <w:lang w:eastAsia="cs-CZ"/>
              </w:rPr>
              <w:t>ČR,</w:t>
            </w:r>
          </w:p>
          <w:p w14:paraId="19C0D6F8" w14:textId="77777777" w:rsidR="00CB4A00" w:rsidRDefault="00CB4A00" w:rsidP="00C66961">
            <w:pPr>
              <w:jc w:val="both"/>
              <w:rPr>
                <w:rFonts w:cs="Arial"/>
                <w:sz w:val="18"/>
                <w:szCs w:val="18"/>
                <w:lang w:eastAsia="cs-CZ"/>
              </w:rPr>
            </w:pPr>
            <w:r w:rsidRPr="00071DB8">
              <w:rPr>
                <w:rFonts w:cs="Arial"/>
                <w:sz w:val="18"/>
                <w:szCs w:val="18"/>
                <w:lang w:eastAsia="cs-CZ"/>
              </w:rPr>
              <w:t>již schválené resortní programy</w:t>
            </w:r>
          </w:p>
        </w:tc>
        <w:tc>
          <w:tcPr>
            <w:tcW w:w="2748" w:type="dxa"/>
            <w:gridSpan w:val="2"/>
          </w:tcPr>
          <w:p w14:paraId="1603B6C5" w14:textId="77777777" w:rsidR="00CB4A00" w:rsidRDefault="00CB4A00" w:rsidP="00C66961">
            <w:pPr>
              <w:jc w:val="both"/>
              <w:rPr>
                <w:rFonts w:cs="Arial"/>
                <w:sz w:val="18"/>
                <w:szCs w:val="18"/>
                <w:lang w:eastAsia="cs-CZ"/>
              </w:rPr>
            </w:pPr>
            <w:r w:rsidRPr="00071DB8">
              <w:rPr>
                <w:rFonts w:cs="Arial"/>
                <w:sz w:val="18"/>
                <w:szCs w:val="18"/>
                <w:lang w:eastAsia="cs-CZ"/>
              </w:rPr>
              <w:t xml:space="preserve">Ekonomika regionu stojí na průmyslové tradici, má nízkou konkurenceschopnost. Důležitou roli sehrávají velké podniky. Struktura průmyslu je vázaná na odvětví chemie, energetiky (včetně těžby), výroby skla a částečně na strojírenství s významnými dodávkami do automobilového průmyslu. Zejména tyto obory </w:t>
            </w:r>
            <w:proofErr w:type="gramStart"/>
            <w:r w:rsidRPr="00071DB8">
              <w:rPr>
                <w:rFonts w:cs="Arial"/>
                <w:sz w:val="18"/>
                <w:szCs w:val="18"/>
                <w:lang w:eastAsia="cs-CZ"/>
              </w:rPr>
              <w:t>tvoří</w:t>
            </w:r>
            <w:proofErr w:type="gramEnd"/>
            <w:r w:rsidRPr="00071DB8">
              <w:rPr>
                <w:rFonts w:cs="Arial"/>
                <w:sz w:val="18"/>
                <w:szCs w:val="18"/>
                <w:lang w:eastAsia="cs-CZ"/>
              </w:rPr>
              <w:t xml:space="preserve"> dle krajské přílohy RIS3 specializační domény. Pro rozvoj konkurenceschopnosti regionu je potřeba napomoci růstu konkurenceschopnosti podniků v klíčových doménách, </w:t>
            </w:r>
            <w:r w:rsidRPr="00071DB8">
              <w:rPr>
                <w:rFonts w:cs="Arial"/>
                <w:sz w:val="18"/>
                <w:szCs w:val="18"/>
                <w:lang w:eastAsia="cs-CZ"/>
              </w:rPr>
              <w:lastRenderedPageBreak/>
              <w:t>najít nové oblasti růstu, které nemusí mít tradici, ale skýtají značný růstový potenciál, najít oblast/téma, která má potenciál do regionu nalákat inovační firmy různé velikosti a talentované lidi, využít další silné stránky regionu (např. poloha) atd. Témata z oblasti budoucnosti mobility představují ideální průnik výše zmíněného.</w:t>
            </w:r>
          </w:p>
        </w:tc>
        <w:tc>
          <w:tcPr>
            <w:tcW w:w="2163" w:type="dxa"/>
          </w:tcPr>
          <w:p w14:paraId="278772C4" w14:textId="46414CAF" w:rsidR="00CB4A00" w:rsidRDefault="00CB4A00" w:rsidP="00C66961">
            <w:pPr>
              <w:jc w:val="both"/>
              <w:rPr>
                <w:rFonts w:cs="Arial"/>
                <w:sz w:val="18"/>
                <w:szCs w:val="18"/>
                <w:lang w:eastAsia="cs-CZ"/>
              </w:rPr>
            </w:pPr>
            <w:r w:rsidRPr="00071DB8">
              <w:rPr>
                <w:rFonts w:cs="Arial"/>
                <w:sz w:val="18"/>
                <w:szCs w:val="18"/>
                <w:lang w:eastAsia="cs-CZ"/>
              </w:rPr>
              <w:lastRenderedPageBreak/>
              <w:t xml:space="preserve">Autonomní mobilita představuje v současné době jeden z nejvýraznějších trendů v oblasti průmyslu – možnost využití potenciálu, který je představován množstvím VaV aktivit intenzivně rozvíjených a zároveň poptávaných z úrovně všech významných subjektů působících v oblasti automotive, který s sebou tento trend nese, představuje pro Ústecký </w:t>
            </w:r>
            <w:r w:rsidRPr="00071DB8">
              <w:rPr>
                <w:rFonts w:cs="Arial"/>
                <w:sz w:val="18"/>
                <w:szCs w:val="18"/>
                <w:lang w:eastAsia="cs-CZ"/>
              </w:rPr>
              <w:lastRenderedPageBreak/>
              <w:t>kraj jedinečnou příležitost. Oblast autonomní mobility může být jednou z těch, která dokáže ve střednědobém horizontu výraznějším způsobem promluvit do struktury krajského hospodářství a může tak být v procesu postupné transformace mimořádně významná.</w:t>
            </w:r>
          </w:p>
        </w:tc>
        <w:tc>
          <w:tcPr>
            <w:tcW w:w="2406" w:type="dxa"/>
          </w:tcPr>
          <w:p w14:paraId="124AA2D2" w14:textId="77777777" w:rsidR="00CB4A00" w:rsidRDefault="00CB4A00" w:rsidP="00C66961">
            <w:pPr>
              <w:jc w:val="both"/>
              <w:rPr>
                <w:rFonts w:cs="Arial"/>
                <w:sz w:val="18"/>
                <w:szCs w:val="18"/>
                <w:lang w:eastAsia="cs-CZ"/>
              </w:rPr>
            </w:pPr>
            <w:r w:rsidRPr="00071DB8">
              <w:rPr>
                <w:rFonts w:cs="Arial"/>
                <w:sz w:val="18"/>
                <w:szCs w:val="18"/>
                <w:lang w:eastAsia="cs-CZ"/>
              </w:rPr>
              <w:lastRenderedPageBreak/>
              <w:t>Projekt bude ve svých počátcích těžit z rozvoje aktivit primárně na území města Ústí nad Labem a jeho nejbližším okolí, z pohledu charakteru dopadů lze však předjímat jejich celokrajský význam.</w:t>
            </w:r>
          </w:p>
        </w:tc>
        <w:tc>
          <w:tcPr>
            <w:tcW w:w="1482" w:type="dxa"/>
            <w:vAlign w:val="center"/>
          </w:tcPr>
          <w:p w14:paraId="54550F0E" w14:textId="77777777" w:rsidR="00CB4A00" w:rsidRDefault="00CB4A00" w:rsidP="00C66961">
            <w:pPr>
              <w:jc w:val="center"/>
              <w:rPr>
                <w:rFonts w:cs="Arial"/>
                <w:sz w:val="18"/>
                <w:szCs w:val="18"/>
                <w:lang w:eastAsia="cs-CZ"/>
              </w:rPr>
            </w:pPr>
            <w:r w:rsidRPr="00071DB8">
              <w:rPr>
                <w:rFonts w:cs="Arial"/>
                <w:sz w:val="18"/>
                <w:szCs w:val="18"/>
                <w:lang w:eastAsia="cs-CZ"/>
              </w:rPr>
              <w:t>X</w:t>
            </w:r>
          </w:p>
        </w:tc>
      </w:tr>
      <w:tr w:rsidR="00CB4A00" w14:paraId="71DA5192" w14:textId="77777777" w:rsidTr="00C66961">
        <w:trPr>
          <w:jc w:val="center"/>
        </w:trPr>
        <w:tc>
          <w:tcPr>
            <w:tcW w:w="14039" w:type="dxa"/>
            <w:gridSpan w:val="9"/>
            <w:shd w:val="clear" w:color="auto" w:fill="E2EFD9" w:themeFill="accent6" w:themeFillTint="33"/>
            <w:vAlign w:val="center"/>
          </w:tcPr>
          <w:p w14:paraId="5D2F1235" w14:textId="77777777" w:rsidR="00CB4A00" w:rsidRPr="001F0FB1" w:rsidRDefault="00CB4A00" w:rsidP="002E4092">
            <w:pPr>
              <w:pStyle w:val="Odstavecseseznamem"/>
              <w:numPr>
                <w:ilvl w:val="0"/>
                <w:numId w:val="7"/>
              </w:numPr>
              <w:jc w:val="center"/>
              <w:rPr>
                <w:rFonts w:cs="Arial"/>
                <w:b/>
                <w:bCs/>
                <w:sz w:val="18"/>
                <w:szCs w:val="18"/>
                <w:lang w:eastAsia="cs-CZ"/>
              </w:rPr>
            </w:pPr>
            <w:r w:rsidRPr="001F0FB1">
              <w:rPr>
                <w:rFonts w:cs="Arial"/>
                <w:b/>
                <w:bCs/>
                <w:sz w:val="18"/>
                <w:szCs w:val="18"/>
                <w:lang w:eastAsia="cs-CZ"/>
              </w:rPr>
              <w:t>Multifunkční průmyslová zóna budoucnosti – PZ Triangle</w:t>
            </w:r>
          </w:p>
        </w:tc>
      </w:tr>
      <w:tr w:rsidR="00CB4A00" w14:paraId="3EB53BD8" w14:textId="77777777" w:rsidTr="00C66961">
        <w:trPr>
          <w:jc w:val="center"/>
        </w:trPr>
        <w:tc>
          <w:tcPr>
            <w:tcW w:w="2547" w:type="dxa"/>
          </w:tcPr>
          <w:p w14:paraId="5F783178" w14:textId="77777777" w:rsidR="00CB4A00" w:rsidRPr="001F0FB1" w:rsidRDefault="00CB4A00" w:rsidP="00C66961">
            <w:pPr>
              <w:jc w:val="both"/>
              <w:rPr>
                <w:rFonts w:cs="Arial"/>
                <w:sz w:val="18"/>
                <w:szCs w:val="18"/>
                <w:lang w:eastAsia="cs-CZ"/>
              </w:rPr>
            </w:pPr>
            <w:r w:rsidRPr="001F0FB1">
              <w:rPr>
                <w:rFonts w:cs="Arial"/>
                <w:sz w:val="18"/>
                <w:szCs w:val="18"/>
                <w:lang w:eastAsia="cs-CZ"/>
              </w:rPr>
              <w:t>Vybudování "průmyslové laboratoře" v areálu PZ Triangle jako chytrého průmyslového parku. Projekt zahrnuje vybudování výzkumně vzdělávacího centra – místa pro veletrhy, veletrhy práce, prostory školícího, konferenčního centra, zábavně-vzdělávací park. Na silničním okruhu zóny bude vybudován testovacího okruhu pro autonomní systémy.</w:t>
            </w:r>
          </w:p>
          <w:p w14:paraId="210EA3EF" w14:textId="77777777" w:rsidR="00CB4A00" w:rsidRDefault="00CB4A00" w:rsidP="00C66961">
            <w:pPr>
              <w:jc w:val="both"/>
              <w:rPr>
                <w:rFonts w:cs="Arial"/>
                <w:sz w:val="18"/>
                <w:szCs w:val="18"/>
                <w:lang w:eastAsia="cs-CZ"/>
              </w:rPr>
            </w:pPr>
            <w:r w:rsidRPr="001F0FB1">
              <w:rPr>
                <w:rFonts w:cs="Arial"/>
                <w:sz w:val="18"/>
                <w:szCs w:val="18"/>
                <w:lang w:eastAsia="cs-CZ"/>
              </w:rPr>
              <w:t>Projekt bude dále zahrnovat chytrá řešení v oblasti čisté energetiky (využití vodíku, fotovoltaiky, inteligentní prvky pro úspory energií v budovách apod.).</w:t>
            </w:r>
          </w:p>
        </w:tc>
        <w:tc>
          <w:tcPr>
            <w:tcW w:w="1001" w:type="dxa"/>
          </w:tcPr>
          <w:p w14:paraId="49B3CB69" w14:textId="77777777" w:rsidR="00CB4A00" w:rsidRDefault="00CB4A00" w:rsidP="00C66961">
            <w:pPr>
              <w:jc w:val="both"/>
              <w:rPr>
                <w:rFonts w:cs="Arial"/>
                <w:sz w:val="18"/>
                <w:szCs w:val="18"/>
                <w:lang w:eastAsia="cs-CZ"/>
              </w:rPr>
            </w:pPr>
            <w:r w:rsidRPr="001F0FB1">
              <w:rPr>
                <w:rFonts w:cs="Arial"/>
                <w:sz w:val="18"/>
                <w:szCs w:val="18"/>
                <w:lang w:eastAsia="cs-CZ"/>
              </w:rPr>
              <w:t>1 000 mil. Kč</w:t>
            </w:r>
          </w:p>
        </w:tc>
        <w:tc>
          <w:tcPr>
            <w:tcW w:w="1692" w:type="dxa"/>
            <w:gridSpan w:val="2"/>
          </w:tcPr>
          <w:p w14:paraId="118F4ED8" w14:textId="77777777" w:rsidR="00CB4A00" w:rsidRDefault="00CB4A00" w:rsidP="00C66961">
            <w:pPr>
              <w:jc w:val="both"/>
              <w:rPr>
                <w:rFonts w:cs="Arial"/>
                <w:sz w:val="18"/>
                <w:szCs w:val="18"/>
                <w:lang w:eastAsia="cs-CZ"/>
              </w:rPr>
            </w:pPr>
            <w:r w:rsidRPr="001F0FB1">
              <w:rPr>
                <w:rFonts w:cs="Arial"/>
                <w:sz w:val="18"/>
                <w:szCs w:val="18"/>
                <w:lang w:eastAsia="cs-CZ"/>
              </w:rPr>
              <w:t>OP TAK, OP ŽP</w:t>
            </w:r>
          </w:p>
        </w:tc>
        <w:tc>
          <w:tcPr>
            <w:tcW w:w="2748" w:type="dxa"/>
            <w:gridSpan w:val="2"/>
          </w:tcPr>
          <w:p w14:paraId="41D063D3" w14:textId="77777777" w:rsidR="00CB4A00" w:rsidRPr="001F0FB1" w:rsidRDefault="00CB4A00" w:rsidP="00C66961">
            <w:pPr>
              <w:jc w:val="both"/>
              <w:rPr>
                <w:rFonts w:cs="Arial"/>
                <w:sz w:val="18"/>
                <w:szCs w:val="18"/>
                <w:lang w:eastAsia="cs-CZ"/>
              </w:rPr>
            </w:pPr>
            <w:r w:rsidRPr="001F0FB1">
              <w:rPr>
                <w:rFonts w:cs="Arial"/>
                <w:sz w:val="18"/>
                <w:szCs w:val="18"/>
                <w:lang w:eastAsia="cs-CZ"/>
              </w:rPr>
              <w:t>Přispěje k čistým zdrojům energie, zvýšení atraktivity regionu, transformace hospodářství regionu, vědě a výzkumu.</w:t>
            </w:r>
          </w:p>
          <w:p w14:paraId="729267B2" w14:textId="77777777" w:rsidR="00CB4A00" w:rsidRDefault="00CB4A00" w:rsidP="00C66961">
            <w:pPr>
              <w:jc w:val="both"/>
              <w:rPr>
                <w:rFonts w:cs="Arial"/>
                <w:sz w:val="18"/>
                <w:szCs w:val="18"/>
                <w:lang w:eastAsia="cs-CZ"/>
              </w:rPr>
            </w:pPr>
            <w:r w:rsidRPr="001F0FB1">
              <w:rPr>
                <w:rFonts w:cs="Arial"/>
                <w:sz w:val="18"/>
                <w:szCs w:val="18"/>
                <w:lang w:eastAsia="cs-CZ"/>
              </w:rPr>
              <w:t>Multifunkční centrum nebude pouze centrem zábavy, ale zejména centrem vzdělávání v technických oborech, centrem výzkumu a inovací a centrem přenosu informací mezi všemi aktéry regionálního rozvoje. Zaměřeno bude zejména na podporu oborů hospodářství, strojírenství a elektrotechniky, těžby a energetiky a chemie.</w:t>
            </w:r>
          </w:p>
        </w:tc>
        <w:tc>
          <w:tcPr>
            <w:tcW w:w="2163" w:type="dxa"/>
          </w:tcPr>
          <w:p w14:paraId="75A113E4" w14:textId="77777777" w:rsidR="00CB4A00" w:rsidRDefault="00CB4A00" w:rsidP="00C66961">
            <w:pPr>
              <w:jc w:val="both"/>
              <w:rPr>
                <w:rFonts w:cs="Arial"/>
                <w:sz w:val="18"/>
                <w:szCs w:val="18"/>
                <w:lang w:eastAsia="cs-CZ"/>
              </w:rPr>
            </w:pPr>
            <w:r w:rsidRPr="001F0FB1">
              <w:rPr>
                <w:rFonts w:cs="Arial"/>
                <w:sz w:val="18"/>
                <w:szCs w:val="18"/>
                <w:lang w:eastAsia="cs-CZ"/>
              </w:rPr>
              <w:t>Zvýšení počtu kompetentních zaměstnanců v technických oborech a měkkých dovednostech, snížení nezaměstnanosti, nárůst počtu nových technologických firem, odborníků zvýšení kvalifikované pracovní síly v regionu.</w:t>
            </w:r>
          </w:p>
        </w:tc>
        <w:tc>
          <w:tcPr>
            <w:tcW w:w="2406" w:type="dxa"/>
          </w:tcPr>
          <w:p w14:paraId="3F851853" w14:textId="77777777" w:rsidR="00CB4A00" w:rsidRDefault="00CB4A00" w:rsidP="00C66961">
            <w:pPr>
              <w:jc w:val="both"/>
              <w:rPr>
                <w:rFonts w:cs="Arial"/>
                <w:sz w:val="18"/>
                <w:szCs w:val="18"/>
                <w:lang w:eastAsia="cs-CZ"/>
              </w:rPr>
            </w:pPr>
            <w:r w:rsidRPr="001F0FB1">
              <w:rPr>
                <w:rFonts w:cs="Arial"/>
                <w:sz w:val="18"/>
                <w:szCs w:val="18"/>
                <w:lang w:eastAsia="cs-CZ"/>
              </w:rPr>
              <w:t>Kraj, města a obce, obyvatelé regionu, studenti, firmy a zaměstnance firem</w:t>
            </w:r>
            <w:r>
              <w:rPr>
                <w:rFonts w:cs="Arial"/>
                <w:sz w:val="18"/>
                <w:szCs w:val="18"/>
                <w:lang w:eastAsia="cs-CZ"/>
              </w:rPr>
              <w:t>.</w:t>
            </w:r>
          </w:p>
        </w:tc>
        <w:tc>
          <w:tcPr>
            <w:tcW w:w="1482" w:type="dxa"/>
            <w:vAlign w:val="center"/>
          </w:tcPr>
          <w:p w14:paraId="700303C9" w14:textId="77777777" w:rsidR="00CB4A00" w:rsidRDefault="00CB4A00" w:rsidP="00C66961">
            <w:pPr>
              <w:jc w:val="center"/>
              <w:rPr>
                <w:rFonts w:cs="Arial"/>
                <w:sz w:val="18"/>
                <w:szCs w:val="18"/>
                <w:lang w:eastAsia="cs-CZ"/>
              </w:rPr>
            </w:pPr>
            <w:r w:rsidRPr="001F0FB1">
              <w:rPr>
                <w:rFonts w:cs="Arial"/>
                <w:sz w:val="18"/>
                <w:szCs w:val="18"/>
                <w:lang w:eastAsia="cs-CZ"/>
              </w:rPr>
              <w:t>Záměr kraje jako takový nepokračuje, v zóně Triangle bude realizován SP H2Energy</w:t>
            </w:r>
            <w:r>
              <w:rPr>
                <w:rFonts w:cs="Arial"/>
                <w:sz w:val="18"/>
                <w:szCs w:val="18"/>
                <w:lang w:eastAsia="cs-CZ"/>
              </w:rPr>
              <w:t>.</w:t>
            </w:r>
          </w:p>
        </w:tc>
      </w:tr>
      <w:tr w:rsidR="00CB4A00" w14:paraId="3B51FA2B" w14:textId="77777777" w:rsidTr="00C66961">
        <w:trPr>
          <w:trHeight w:val="340"/>
          <w:jc w:val="center"/>
        </w:trPr>
        <w:tc>
          <w:tcPr>
            <w:tcW w:w="14039" w:type="dxa"/>
            <w:gridSpan w:val="9"/>
            <w:shd w:val="clear" w:color="auto" w:fill="EDEDED" w:themeFill="accent3" w:themeFillTint="33"/>
            <w:vAlign w:val="center"/>
          </w:tcPr>
          <w:p w14:paraId="49C590D4" w14:textId="77777777" w:rsidR="00CB4A00" w:rsidRDefault="00CB4A00" w:rsidP="00C66961">
            <w:pPr>
              <w:jc w:val="center"/>
              <w:rPr>
                <w:rFonts w:cs="Arial"/>
                <w:sz w:val="18"/>
                <w:szCs w:val="18"/>
                <w:lang w:eastAsia="cs-CZ"/>
              </w:rPr>
            </w:pPr>
            <w:r w:rsidRPr="26266EC3">
              <w:rPr>
                <w:rFonts w:eastAsia="Times New Roman" w:cs="Arial"/>
                <w:b/>
                <w:bCs/>
                <w:color w:val="000000" w:themeColor="text1"/>
                <w:sz w:val="18"/>
                <w:szCs w:val="18"/>
              </w:rPr>
              <w:t>Podpůrné projekty – Ústecký kraj</w:t>
            </w:r>
          </w:p>
        </w:tc>
      </w:tr>
      <w:tr w:rsidR="00CB4A00" w14:paraId="6E6E3B50" w14:textId="77777777" w:rsidTr="00C66961">
        <w:trPr>
          <w:jc w:val="center"/>
        </w:trPr>
        <w:tc>
          <w:tcPr>
            <w:tcW w:w="14039" w:type="dxa"/>
            <w:gridSpan w:val="9"/>
            <w:shd w:val="clear" w:color="auto" w:fill="E2EFD9" w:themeFill="accent6" w:themeFillTint="33"/>
          </w:tcPr>
          <w:p w14:paraId="52F725B4" w14:textId="77777777" w:rsidR="00CB4A00" w:rsidRPr="001F0FB1" w:rsidRDefault="00CB4A00" w:rsidP="002E4092">
            <w:pPr>
              <w:pStyle w:val="Odstavecseseznamem"/>
              <w:numPr>
                <w:ilvl w:val="0"/>
                <w:numId w:val="8"/>
              </w:numPr>
              <w:jc w:val="center"/>
              <w:rPr>
                <w:rFonts w:cs="Arial"/>
                <w:b/>
                <w:bCs/>
                <w:sz w:val="18"/>
                <w:szCs w:val="18"/>
                <w:lang w:eastAsia="cs-CZ"/>
              </w:rPr>
            </w:pPr>
            <w:r w:rsidRPr="001F0FB1">
              <w:rPr>
                <w:rFonts w:cs="Arial"/>
                <w:b/>
                <w:bCs/>
                <w:sz w:val="18"/>
                <w:szCs w:val="18"/>
                <w:lang w:eastAsia="cs-CZ"/>
              </w:rPr>
              <w:t>Podpora montánního turismu</w:t>
            </w:r>
          </w:p>
        </w:tc>
      </w:tr>
      <w:tr w:rsidR="00CB4A00" w14:paraId="2C1AA0AD" w14:textId="77777777" w:rsidTr="00C66961">
        <w:trPr>
          <w:jc w:val="center"/>
        </w:trPr>
        <w:tc>
          <w:tcPr>
            <w:tcW w:w="2547" w:type="dxa"/>
          </w:tcPr>
          <w:p w14:paraId="15E64C80" w14:textId="77777777" w:rsidR="00CB4A00" w:rsidRPr="001F0FB1" w:rsidRDefault="00CB4A00" w:rsidP="00C66961">
            <w:pPr>
              <w:jc w:val="both"/>
              <w:rPr>
                <w:rFonts w:cs="Arial"/>
                <w:sz w:val="18"/>
                <w:szCs w:val="18"/>
                <w:lang w:eastAsia="cs-CZ"/>
              </w:rPr>
            </w:pPr>
            <w:r w:rsidRPr="001F0FB1">
              <w:rPr>
                <w:rFonts w:cs="Arial"/>
                <w:sz w:val="18"/>
                <w:szCs w:val="18"/>
                <w:lang w:eastAsia="cs-CZ"/>
              </w:rPr>
              <w:lastRenderedPageBreak/>
              <w:t>Rozvoj investic pro zlepšení využití historických hornických památek a rozvoj nových možností pro využití tématu hornické a pohornické krajiny (příklad Podkrušnohorské technické muzeum) v rozvoji cestovního ruchu.</w:t>
            </w:r>
          </w:p>
          <w:p w14:paraId="3F117549" w14:textId="77777777" w:rsidR="00CB4A00" w:rsidRDefault="00CB4A00" w:rsidP="00C66961">
            <w:pPr>
              <w:jc w:val="both"/>
              <w:rPr>
                <w:rFonts w:cs="Arial"/>
                <w:sz w:val="18"/>
                <w:szCs w:val="18"/>
                <w:lang w:eastAsia="cs-CZ"/>
              </w:rPr>
            </w:pPr>
            <w:r w:rsidRPr="001F0FB1">
              <w:rPr>
                <w:rFonts w:cs="Arial"/>
                <w:sz w:val="18"/>
                <w:szCs w:val="18"/>
                <w:lang w:eastAsia="cs-CZ"/>
              </w:rPr>
              <w:t>Přímé dopady: zkvalitnění image Ústeckého kraje a rozvoj jeho turistického potenciálu.</w:t>
            </w:r>
          </w:p>
        </w:tc>
        <w:tc>
          <w:tcPr>
            <w:tcW w:w="1001" w:type="dxa"/>
          </w:tcPr>
          <w:p w14:paraId="1BCD407F" w14:textId="77777777" w:rsidR="00CB4A00" w:rsidRDefault="00CB4A00" w:rsidP="00C66961">
            <w:pPr>
              <w:jc w:val="both"/>
              <w:rPr>
                <w:rFonts w:cs="Arial"/>
                <w:sz w:val="18"/>
                <w:szCs w:val="18"/>
                <w:lang w:eastAsia="cs-CZ"/>
              </w:rPr>
            </w:pPr>
            <w:r>
              <w:rPr>
                <w:rFonts w:cs="Arial"/>
                <w:sz w:val="18"/>
                <w:szCs w:val="18"/>
                <w:lang w:eastAsia="cs-CZ"/>
              </w:rPr>
              <w:t xml:space="preserve">Cca </w:t>
            </w:r>
            <w:r w:rsidRPr="001F0FB1">
              <w:rPr>
                <w:rFonts w:cs="Arial"/>
                <w:sz w:val="18"/>
                <w:szCs w:val="18"/>
                <w:lang w:eastAsia="cs-CZ"/>
              </w:rPr>
              <w:t>stovky mil. Kč</w:t>
            </w:r>
          </w:p>
        </w:tc>
        <w:tc>
          <w:tcPr>
            <w:tcW w:w="1692" w:type="dxa"/>
            <w:gridSpan w:val="2"/>
          </w:tcPr>
          <w:p w14:paraId="2C300CD9" w14:textId="77777777" w:rsidR="00CB4A00" w:rsidRPr="001F0FB1" w:rsidRDefault="00CB4A00" w:rsidP="00C66961">
            <w:pPr>
              <w:jc w:val="both"/>
              <w:rPr>
                <w:rFonts w:cs="Arial"/>
                <w:sz w:val="18"/>
                <w:szCs w:val="18"/>
                <w:lang w:eastAsia="cs-CZ"/>
              </w:rPr>
            </w:pPr>
            <w:r w:rsidRPr="001F0FB1">
              <w:rPr>
                <w:rFonts w:cs="Arial"/>
                <w:sz w:val="18"/>
                <w:szCs w:val="18"/>
                <w:lang w:eastAsia="cs-CZ"/>
              </w:rPr>
              <w:t>EU fondy</w:t>
            </w:r>
          </w:p>
          <w:p w14:paraId="4A69A9F6" w14:textId="77777777" w:rsidR="00CB4A00" w:rsidRDefault="00CB4A00" w:rsidP="00C66961">
            <w:pPr>
              <w:jc w:val="both"/>
              <w:rPr>
                <w:rFonts w:cs="Arial"/>
                <w:sz w:val="18"/>
                <w:szCs w:val="18"/>
                <w:lang w:eastAsia="cs-CZ"/>
              </w:rPr>
            </w:pPr>
            <w:r w:rsidRPr="001F0FB1">
              <w:rPr>
                <w:rFonts w:cs="Arial"/>
                <w:sz w:val="18"/>
                <w:szCs w:val="18"/>
                <w:lang w:eastAsia="cs-CZ"/>
              </w:rPr>
              <w:t>2021+, Národní dotační tituly, OP ST</w:t>
            </w:r>
          </w:p>
        </w:tc>
        <w:tc>
          <w:tcPr>
            <w:tcW w:w="2748" w:type="dxa"/>
            <w:gridSpan w:val="2"/>
          </w:tcPr>
          <w:p w14:paraId="52AA26FF" w14:textId="77777777" w:rsidR="00CB4A00" w:rsidRDefault="00CB4A00" w:rsidP="00C66961">
            <w:pPr>
              <w:jc w:val="both"/>
              <w:rPr>
                <w:rFonts w:cs="Arial"/>
                <w:sz w:val="18"/>
                <w:szCs w:val="18"/>
                <w:lang w:eastAsia="cs-CZ"/>
              </w:rPr>
            </w:pPr>
            <w:r w:rsidRPr="001F0FB1">
              <w:rPr>
                <w:rFonts w:cs="Arial"/>
                <w:sz w:val="18"/>
                <w:szCs w:val="18"/>
                <w:lang w:eastAsia="cs-CZ"/>
              </w:rPr>
              <w:t>Tradice hornického průmyslu a povaha krajiny, jejíž morfologie byla hornictvím po dlouhá léta utvářena, představuje jedinečné dědictví Ústeckého kraje. Toto dědictví může být efektivně využito pro zkvalitnění image Ústeckého kraje a rozvoj jeho turistického potenciálu – pozitivní rozvoj v tomto směru bude generovat řadu synergických restrukturalizačních efektů a potenciálu pro další hospodářský a sociální rozvoj území.</w:t>
            </w:r>
          </w:p>
        </w:tc>
        <w:tc>
          <w:tcPr>
            <w:tcW w:w="2163" w:type="dxa"/>
          </w:tcPr>
          <w:p w14:paraId="64A6DC4D" w14:textId="77777777" w:rsidR="00CB4A00" w:rsidRDefault="00CB4A00" w:rsidP="00C66961">
            <w:pPr>
              <w:jc w:val="both"/>
              <w:rPr>
                <w:rFonts w:cs="Arial"/>
                <w:sz w:val="18"/>
                <w:szCs w:val="18"/>
                <w:lang w:eastAsia="cs-CZ"/>
              </w:rPr>
            </w:pPr>
            <w:r w:rsidRPr="001F0FB1">
              <w:rPr>
                <w:rFonts w:cs="Arial"/>
                <w:sz w:val="18"/>
                <w:szCs w:val="18"/>
                <w:lang w:eastAsia="cs-CZ"/>
              </w:rPr>
              <w:t xml:space="preserve">Díky tomuto projektu bude v procesu restrukturalizace akcentována vazba regionu na jeho historické tradice a zároveň bude moci být tato historická vazba efektivně využita – turistika, při níž návštěvníci vyhledávají nejrůznější atraktivity spojené s průmyslovým dědictvím, </w:t>
            </w:r>
            <w:proofErr w:type="gramStart"/>
            <w:r w:rsidRPr="001F0FB1">
              <w:rPr>
                <w:rFonts w:cs="Arial"/>
                <w:sz w:val="18"/>
                <w:szCs w:val="18"/>
                <w:lang w:eastAsia="cs-CZ"/>
              </w:rPr>
              <w:t>patří</w:t>
            </w:r>
            <w:proofErr w:type="gramEnd"/>
            <w:r w:rsidRPr="001F0FB1">
              <w:rPr>
                <w:rFonts w:cs="Arial"/>
                <w:sz w:val="18"/>
                <w:szCs w:val="18"/>
                <w:lang w:eastAsia="cs-CZ"/>
              </w:rPr>
              <w:t xml:space="preserve"> stabilně mezi rostoucí odvětví a tento trend je v posledních letech znatelný i v Ústeckém kraji (mj. rostoucí zájem o aktivity typu "uhelné safari"). Je proto vhodné tento růstový trend využít a akcentovat jej v restrukturalizačních procesech.</w:t>
            </w:r>
          </w:p>
        </w:tc>
        <w:tc>
          <w:tcPr>
            <w:tcW w:w="2406" w:type="dxa"/>
          </w:tcPr>
          <w:p w14:paraId="705E63BD" w14:textId="77777777" w:rsidR="00CB4A00" w:rsidRPr="001F0FB1" w:rsidRDefault="00CB4A00" w:rsidP="00C66961">
            <w:pPr>
              <w:jc w:val="both"/>
              <w:rPr>
                <w:rFonts w:cs="Arial"/>
                <w:sz w:val="18"/>
                <w:szCs w:val="18"/>
                <w:lang w:eastAsia="cs-CZ"/>
              </w:rPr>
            </w:pPr>
            <w:r w:rsidRPr="001F0FB1">
              <w:rPr>
                <w:rFonts w:cs="Arial"/>
                <w:sz w:val="18"/>
                <w:szCs w:val="18"/>
                <w:lang w:eastAsia="cs-CZ"/>
              </w:rPr>
              <w:t>Tento projekt bude generovat dopady především v těch oblastech kraje, které byly přímo zasaženy těžbou hnědého uhlí – primárně tedy Chomutovsko, Mostecko, Teplicko a Ústecko.</w:t>
            </w:r>
          </w:p>
          <w:p w14:paraId="70254DD5" w14:textId="77777777" w:rsidR="00CB4A00" w:rsidRDefault="00CB4A00" w:rsidP="00C66961">
            <w:pPr>
              <w:jc w:val="both"/>
              <w:rPr>
                <w:rFonts w:cs="Arial"/>
                <w:sz w:val="18"/>
                <w:szCs w:val="18"/>
                <w:lang w:eastAsia="cs-CZ"/>
              </w:rPr>
            </w:pPr>
            <w:r w:rsidRPr="001F0FB1">
              <w:rPr>
                <w:rFonts w:cs="Arial"/>
                <w:sz w:val="18"/>
                <w:szCs w:val="18"/>
                <w:lang w:eastAsia="cs-CZ"/>
              </w:rPr>
              <w:t>Propojení na zapsanou památku světového dědictví UNESCO „Montanregion Krušné hory</w:t>
            </w:r>
            <w:r>
              <w:rPr>
                <w:rFonts w:cs="Arial"/>
                <w:sz w:val="18"/>
                <w:szCs w:val="18"/>
                <w:lang w:eastAsia="cs-CZ"/>
              </w:rPr>
              <w:t xml:space="preserve">.“ </w:t>
            </w:r>
          </w:p>
        </w:tc>
        <w:tc>
          <w:tcPr>
            <w:tcW w:w="1482" w:type="dxa"/>
            <w:vAlign w:val="center"/>
          </w:tcPr>
          <w:p w14:paraId="6227CE1A"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5F308792" w14:textId="77777777" w:rsidTr="00C66961">
        <w:trPr>
          <w:jc w:val="center"/>
        </w:trPr>
        <w:tc>
          <w:tcPr>
            <w:tcW w:w="14039" w:type="dxa"/>
            <w:gridSpan w:val="9"/>
            <w:shd w:val="clear" w:color="auto" w:fill="E2EFD9" w:themeFill="accent6" w:themeFillTint="33"/>
          </w:tcPr>
          <w:p w14:paraId="1492CF89" w14:textId="77777777" w:rsidR="00CB4A00" w:rsidRPr="001F0FB1" w:rsidRDefault="00CB4A00" w:rsidP="002E4092">
            <w:pPr>
              <w:pStyle w:val="Odstavecseseznamem"/>
              <w:numPr>
                <w:ilvl w:val="0"/>
                <w:numId w:val="8"/>
              </w:numPr>
              <w:jc w:val="center"/>
              <w:rPr>
                <w:rFonts w:cs="Arial"/>
                <w:sz w:val="18"/>
                <w:szCs w:val="18"/>
                <w:lang w:eastAsia="cs-CZ"/>
              </w:rPr>
            </w:pPr>
            <w:r w:rsidRPr="001F0FB1">
              <w:rPr>
                <w:rFonts w:cs="Arial"/>
                <w:b/>
                <w:w w:val="105"/>
                <w:sz w:val="18"/>
                <w:szCs w:val="18"/>
              </w:rPr>
              <w:t>Regenerace areálu Východního nádraží Děčín – vzdělávací centrum a průmyslová zóna</w:t>
            </w:r>
          </w:p>
        </w:tc>
      </w:tr>
      <w:tr w:rsidR="00CB4A00" w14:paraId="205CB3A0" w14:textId="77777777" w:rsidTr="00C66961">
        <w:trPr>
          <w:jc w:val="center"/>
        </w:trPr>
        <w:tc>
          <w:tcPr>
            <w:tcW w:w="2547" w:type="dxa"/>
          </w:tcPr>
          <w:p w14:paraId="63CDCCD8" w14:textId="77777777" w:rsidR="00CB4A00" w:rsidRPr="001F0FB1" w:rsidRDefault="00CB4A00" w:rsidP="00C66961">
            <w:pPr>
              <w:jc w:val="both"/>
              <w:rPr>
                <w:rFonts w:cs="Arial"/>
                <w:sz w:val="18"/>
                <w:szCs w:val="18"/>
                <w:lang w:eastAsia="cs-CZ"/>
              </w:rPr>
            </w:pPr>
            <w:r w:rsidRPr="001F0FB1">
              <w:rPr>
                <w:rFonts w:cs="Arial"/>
                <w:sz w:val="18"/>
                <w:szCs w:val="18"/>
                <w:lang w:eastAsia="cs-CZ"/>
              </w:rPr>
              <w:t xml:space="preserve">Celková regenerace areálu Východního nádraží spočívající v možnosti vyřešení vlastnických vztahů k jednotlivým pozemkům a infrastruktuře v místě, díky níž bude následně moci být řešen komplex několika dílčích projektů - dva nejvýznamnější z nich jsou představovány rozvojem průmyslové zóny (která se jeví jako významná z pohledu </w:t>
            </w:r>
            <w:r w:rsidRPr="001F0FB1">
              <w:rPr>
                <w:rFonts w:cs="Arial"/>
                <w:sz w:val="18"/>
                <w:szCs w:val="18"/>
                <w:lang w:eastAsia="cs-CZ"/>
              </w:rPr>
              <w:lastRenderedPageBreak/>
              <w:t>možností dalšího rozvoje podnikatelských aktivit v rámci města Děčín, resp. jeho nejbližším okolí) a realizací vzdělávacího centra v budově bývalé Rakouské dráhy, kdy toto centrum by mohla využívat ČVUT a její Fakulta dopravní (a to nejen jako místo pro výuku, ale i jako prostor pro ubytování studentů - koleje, rozvoj VaV aktivit apod.).</w:t>
            </w:r>
          </w:p>
          <w:p w14:paraId="69386E61" w14:textId="77777777" w:rsidR="00CB4A00" w:rsidRDefault="00CB4A00" w:rsidP="00C66961">
            <w:pPr>
              <w:jc w:val="both"/>
              <w:rPr>
                <w:rFonts w:cs="Arial"/>
                <w:sz w:val="18"/>
                <w:szCs w:val="18"/>
                <w:lang w:eastAsia="cs-CZ"/>
              </w:rPr>
            </w:pPr>
            <w:r w:rsidRPr="001F0FB1">
              <w:rPr>
                <w:rFonts w:cs="Arial"/>
                <w:sz w:val="18"/>
                <w:szCs w:val="18"/>
                <w:lang w:eastAsia="cs-CZ"/>
              </w:rPr>
              <w:t>Přímé dopady: nové možností realizací investic na území na místě vzniklé průmyslové zóny, zkvalitnění image města Děčín.</w:t>
            </w:r>
          </w:p>
        </w:tc>
        <w:tc>
          <w:tcPr>
            <w:tcW w:w="1001" w:type="dxa"/>
          </w:tcPr>
          <w:p w14:paraId="34EF7F5E" w14:textId="77777777" w:rsidR="00CB4A00" w:rsidRDefault="00CB4A00" w:rsidP="00C66961">
            <w:pPr>
              <w:jc w:val="both"/>
              <w:rPr>
                <w:rFonts w:cs="Arial"/>
                <w:sz w:val="18"/>
                <w:szCs w:val="18"/>
                <w:lang w:eastAsia="cs-CZ"/>
              </w:rPr>
            </w:pPr>
            <w:r w:rsidRPr="001F0FB1">
              <w:rPr>
                <w:rFonts w:cs="Arial"/>
                <w:sz w:val="18"/>
                <w:szCs w:val="18"/>
                <w:lang w:eastAsia="cs-CZ"/>
              </w:rPr>
              <w:lastRenderedPageBreak/>
              <w:t>1 500 mil. Kč</w:t>
            </w:r>
          </w:p>
        </w:tc>
        <w:tc>
          <w:tcPr>
            <w:tcW w:w="1692" w:type="dxa"/>
            <w:gridSpan w:val="2"/>
          </w:tcPr>
          <w:p w14:paraId="62F603DA" w14:textId="77777777" w:rsidR="00CB4A00" w:rsidRPr="001F0FB1" w:rsidRDefault="00CB4A00" w:rsidP="00C66961">
            <w:pPr>
              <w:jc w:val="both"/>
              <w:rPr>
                <w:rFonts w:cs="Arial"/>
                <w:sz w:val="18"/>
                <w:szCs w:val="18"/>
                <w:lang w:eastAsia="cs-CZ"/>
              </w:rPr>
            </w:pPr>
            <w:r w:rsidRPr="001F0FB1">
              <w:rPr>
                <w:rFonts w:cs="Arial"/>
                <w:sz w:val="18"/>
                <w:szCs w:val="18"/>
                <w:lang w:eastAsia="cs-CZ"/>
              </w:rPr>
              <w:t>EU fondy 2021+, SFŽP,</w:t>
            </w:r>
          </w:p>
          <w:p w14:paraId="12FE9FB5" w14:textId="77777777" w:rsidR="00CB4A00" w:rsidRDefault="00CB4A00" w:rsidP="00C66961">
            <w:pPr>
              <w:jc w:val="both"/>
              <w:rPr>
                <w:rFonts w:cs="Arial"/>
                <w:sz w:val="18"/>
                <w:szCs w:val="18"/>
                <w:lang w:eastAsia="cs-CZ"/>
              </w:rPr>
            </w:pPr>
            <w:r w:rsidRPr="001F0FB1">
              <w:rPr>
                <w:rFonts w:cs="Arial"/>
                <w:sz w:val="18"/>
                <w:szCs w:val="18"/>
                <w:lang w:eastAsia="cs-CZ"/>
              </w:rPr>
              <w:t>SFDI a další národní dotační tituly</w:t>
            </w:r>
          </w:p>
        </w:tc>
        <w:tc>
          <w:tcPr>
            <w:tcW w:w="2748" w:type="dxa"/>
            <w:gridSpan w:val="2"/>
          </w:tcPr>
          <w:p w14:paraId="4D41B09B" w14:textId="77777777" w:rsidR="00CB4A00" w:rsidRDefault="00CB4A00" w:rsidP="00C66961">
            <w:pPr>
              <w:jc w:val="both"/>
              <w:rPr>
                <w:rFonts w:cs="Arial"/>
                <w:sz w:val="18"/>
                <w:szCs w:val="18"/>
                <w:lang w:eastAsia="cs-CZ"/>
              </w:rPr>
            </w:pPr>
            <w:r w:rsidRPr="00265468">
              <w:rPr>
                <w:rFonts w:cs="Arial"/>
                <w:sz w:val="18"/>
                <w:szCs w:val="18"/>
                <w:lang w:eastAsia="cs-CZ"/>
              </w:rPr>
              <w:t xml:space="preserve">Přímé hospodářské dopady projektu jsou dány především možností efektivního využití území charakteru brownfield, které ve své stávající podobě nepřináší pro město, jeho širší okolí a ani kraj samotný žádný hospodářský přínos. Potenciál je přitom značný a je představován právě jak přímými pozitivními hospodářskými dopady souvisejícími s možností realizací investic na </w:t>
            </w:r>
            <w:r w:rsidRPr="00265468">
              <w:rPr>
                <w:rFonts w:cs="Arial"/>
                <w:sz w:val="18"/>
                <w:szCs w:val="18"/>
                <w:lang w:eastAsia="cs-CZ"/>
              </w:rPr>
              <w:lastRenderedPageBreak/>
              <w:t>území na místě vzniklé průmyslové zóny, tak nepřímé, které jsou dány možností dalšího rozvoje vysokoškolského studia v městě Děčín (ČVUT – Fakulta dopravní) a s touto skutečností provázanými synergickými efekty v podobě rozvoje image místa a možností přílivu a udržení kvalifikované pracovní síly.</w:t>
            </w:r>
          </w:p>
        </w:tc>
        <w:tc>
          <w:tcPr>
            <w:tcW w:w="2163" w:type="dxa"/>
          </w:tcPr>
          <w:p w14:paraId="6C20F995" w14:textId="77777777" w:rsidR="00CB4A00" w:rsidRDefault="00CB4A00" w:rsidP="00C66961">
            <w:pPr>
              <w:jc w:val="both"/>
              <w:rPr>
                <w:rFonts w:cs="Arial"/>
                <w:sz w:val="18"/>
                <w:szCs w:val="18"/>
                <w:lang w:eastAsia="cs-CZ"/>
              </w:rPr>
            </w:pPr>
            <w:r w:rsidRPr="00265468">
              <w:rPr>
                <w:rFonts w:cs="Arial"/>
                <w:sz w:val="18"/>
                <w:szCs w:val="18"/>
                <w:lang w:eastAsia="cs-CZ"/>
              </w:rPr>
              <w:lastRenderedPageBreak/>
              <w:t xml:space="preserve">Lokality typu brownfield, mezi které se řadí právě i oblast východního nádraží v Děčíně, představují jeden z nejvýznamnějších prvků negativně se podepisujících na image regionu. Přitom tyto lokality s sebou nesou velký potenciál – platí to právě i pro oblast východního nádraží v </w:t>
            </w:r>
            <w:r w:rsidRPr="00265468">
              <w:rPr>
                <w:rFonts w:cs="Arial"/>
                <w:sz w:val="18"/>
                <w:szCs w:val="18"/>
                <w:lang w:eastAsia="cs-CZ"/>
              </w:rPr>
              <w:lastRenderedPageBreak/>
              <w:t>Děčíně, jejíž komplexní revitalizace umožní nejen rozvoj podnikatelských aktivit, ale i terciárního vzdělávání, které lze vnímat jako jeden z hlavních hybatelů restrukturalizačních procesů.</w:t>
            </w:r>
          </w:p>
        </w:tc>
        <w:tc>
          <w:tcPr>
            <w:tcW w:w="2406" w:type="dxa"/>
          </w:tcPr>
          <w:p w14:paraId="4813A9B6" w14:textId="77777777" w:rsidR="00CB4A00" w:rsidRDefault="00CB4A00" w:rsidP="00C66961">
            <w:pPr>
              <w:jc w:val="both"/>
              <w:rPr>
                <w:rFonts w:cs="Arial"/>
                <w:sz w:val="18"/>
                <w:szCs w:val="18"/>
                <w:lang w:eastAsia="cs-CZ"/>
              </w:rPr>
            </w:pPr>
            <w:r w:rsidRPr="00265468">
              <w:rPr>
                <w:rFonts w:cs="Arial"/>
                <w:sz w:val="18"/>
                <w:szCs w:val="18"/>
                <w:lang w:eastAsia="cs-CZ"/>
              </w:rPr>
              <w:lastRenderedPageBreak/>
              <w:t>Realizace tohoto projektu bude mít významné dopady především ve městě Děčín a jeho nejbližším okolí; nepřímé pozitivní vlivy - např. na úrovni rozvoje příležitostí pro terciární vzdělávání – lze identifikovat na úrovni celého Ústeckého kraje.</w:t>
            </w:r>
          </w:p>
        </w:tc>
        <w:tc>
          <w:tcPr>
            <w:tcW w:w="1482" w:type="dxa"/>
            <w:vAlign w:val="center"/>
          </w:tcPr>
          <w:p w14:paraId="35628A34" w14:textId="77777777" w:rsidR="00CB4A00" w:rsidRDefault="00CB4A00" w:rsidP="00C66961">
            <w:pPr>
              <w:jc w:val="center"/>
              <w:rPr>
                <w:rFonts w:cs="Arial"/>
                <w:sz w:val="18"/>
                <w:szCs w:val="18"/>
                <w:lang w:eastAsia="cs-CZ"/>
              </w:rPr>
            </w:pPr>
            <w:r>
              <w:rPr>
                <w:rFonts w:cs="Arial"/>
                <w:w w:val="105"/>
                <w:sz w:val="18"/>
                <w:szCs w:val="18"/>
              </w:rPr>
              <w:t>X</w:t>
            </w:r>
          </w:p>
        </w:tc>
      </w:tr>
      <w:tr w:rsidR="00CB4A00" w14:paraId="51C62A94" w14:textId="77777777" w:rsidTr="00C66961">
        <w:trPr>
          <w:trHeight w:val="83"/>
          <w:jc w:val="center"/>
        </w:trPr>
        <w:tc>
          <w:tcPr>
            <w:tcW w:w="14039" w:type="dxa"/>
            <w:gridSpan w:val="9"/>
            <w:shd w:val="clear" w:color="auto" w:fill="E2EFD9" w:themeFill="accent6" w:themeFillTint="33"/>
            <w:vAlign w:val="center"/>
          </w:tcPr>
          <w:p w14:paraId="1F63C696" w14:textId="77777777" w:rsidR="00CB4A00" w:rsidRPr="00265468" w:rsidRDefault="00CB4A00" w:rsidP="002E4092">
            <w:pPr>
              <w:pStyle w:val="Odstavecseseznamem"/>
              <w:numPr>
                <w:ilvl w:val="0"/>
                <w:numId w:val="8"/>
              </w:numPr>
              <w:jc w:val="center"/>
              <w:rPr>
                <w:rFonts w:cs="Arial"/>
                <w:sz w:val="18"/>
                <w:szCs w:val="18"/>
                <w:lang w:eastAsia="cs-CZ"/>
              </w:rPr>
            </w:pPr>
            <w:r w:rsidRPr="00ED33E0">
              <w:rPr>
                <w:rFonts w:cs="Arial"/>
                <w:b/>
                <w:w w:val="105"/>
                <w:sz w:val="18"/>
                <w:szCs w:val="18"/>
              </w:rPr>
              <w:t xml:space="preserve">Portabo </w:t>
            </w:r>
            <w:r w:rsidRPr="00E01F1B">
              <w:rPr>
                <w:rFonts w:cs="Arial"/>
                <w:b/>
                <w:w w:val="105"/>
                <w:sz w:val="18"/>
                <w:szCs w:val="18"/>
              </w:rPr>
              <w:t>– Digitální datová platforma Ústeckého kraje</w:t>
            </w:r>
          </w:p>
        </w:tc>
      </w:tr>
      <w:tr w:rsidR="00CB4A00" w14:paraId="3C88E67B" w14:textId="77777777" w:rsidTr="00C66961">
        <w:trPr>
          <w:jc w:val="center"/>
        </w:trPr>
        <w:tc>
          <w:tcPr>
            <w:tcW w:w="2547" w:type="dxa"/>
          </w:tcPr>
          <w:p w14:paraId="3A5C518C" w14:textId="77777777" w:rsidR="00CB4A00" w:rsidRPr="00265468" w:rsidRDefault="00CB4A00" w:rsidP="00C66961">
            <w:pPr>
              <w:jc w:val="both"/>
              <w:rPr>
                <w:rFonts w:cs="Arial"/>
                <w:sz w:val="18"/>
                <w:szCs w:val="18"/>
                <w:lang w:eastAsia="cs-CZ"/>
              </w:rPr>
            </w:pPr>
            <w:r w:rsidRPr="00265468">
              <w:rPr>
                <w:rFonts w:cs="Arial"/>
                <w:sz w:val="18"/>
                <w:szCs w:val="18"/>
                <w:lang w:eastAsia="cs-CZ"/>
              </w:rPr>
              <w:t>Cílem investice je vytvořit jednotnou digitální datovou platformu pro celé území Ústeckého kraje, kterou budou využívat jak obce, města a kraj ke své činnosti, tak také 3. strany, které budou mít přístup k otevřeným datovým sadám pro jejich další zhodnocení. Jednotná datová platforma bude přístupná všem obcím a městům Ústeckého kraje na základě dobrovolnosti a vzájemné výhodnosti. Kraj, obce i města poskytují data do datové platformy a zpět dostávají analytické výstupy dle vlastního požadavku a potřeb.</w:t>
            </w:r>
          </w:p>
          <w:p w14:paraId="02B14347" w14:textId="77777777" w:rsidR="00CB4A00" w:rsidRDefault="00CB4A00" w:rsidP="00C66961">
            <w:pPr>
              <w:jc w:val="both"/>
              <w:rPr>
                <w:rFonts w:cs="Arial"/>
                <w:sz w:val="18"/>
                <w:szCs w:val="18"/>
                <w:lang w:eastAsia="cs-CZ"/>
              </w:rPr>
            </w:pPr>
            <w:r w:rsidRPr="00265468">
              <w:rPr>
                <w:rFonts w:cs="Arial"/>
                <w:sz w:val="18"/>
                <w:szCs w:val="18"/>
                <w:lang w:eastAsia="cs-CZ"/>
              </w:rPr>
              <w:lastRenderedPageBreak/>
              <w:t>- součástí tématu Smart Region Ústecký kraj.</w:t>
            </w:r>
          </w:p>
          <w:p w14:paraId="656E9EFB" w14:textId="77777777" w:rsidR="00CB4A00" w:rsidRDefault="00CB4A00" w:rsidP="00C66961">
            <w:pPr>
              <w:jc w:val="both"/>
              <w:rPr>
                <w:rFonts w:cs="Arial"/>
                <w:sz w:val="18"/>
                <w:szCs w:val="18"/>
                <w:lang w:eastAsia="cs-CZ"/>
              </w:rPr>
            </w:pPr>
          </w:p>
          <w:p w14:paraId="5FD5F91F" w14:textId="77777777" w:rsidR="00CB4A00" w:rsidRDefault="00CB4A00" w:rsidP="00C66961">
            <w:pPr>
              <w:jc w:val="both"/>
              <w:rPr>
                <w:rFonts w:cs="Arial"/>
                <w:sz w:val="18"/>
                <w:szCs w:val="18"/>
                <w:lang w:eastAsia="cs-CZ"/>
              </w:rPr>
            </w:pPr>
          </w:p>
        </w:tc>
        <w:tc>
          <w:tcPr>
            <w:tcW w:w="1001" w:type="dxa"/>
          </w:tcPr>
          <w:p w14:paraId="2EC3075C" w14:textId="77777777" w:rsidR="00CB4A00" w:rsidRDefault="00CB4A00" w:rsidP="00C66961">
            <w:pPr>
              <w:jc w:val="both"/>
              <w:rPr>
                <w:rFonts w:cs="Arial"/>
                <w:sz w:val="18"/>
                <w:szCs w:val="18"/>
                <w:lang w:eastAsia="cs-CZ"/>
              </w:rPr>
            </w:pPr>
            <w:r>
              <w:rPr>
                <w:rFonts w:cs="Arial"/>
                <w:sz w:val="18"/>
                <w:szCs w:val="18"/>
              </w:rPr>
              <w:lastRenderedPageBreak/>
              <w:t>5</w:t>
            </w:r>
            <w:r w:rsidRPr="00E01F1B">
              <w:rPr>
                <w:rFonts w:cs="Arial"/>
                <w:sz w:val="18"/>
                <w:szCs w:val="18"/>
              </w:rPr>
              <w:t>0</w:t>
            </w:r>
            <w:r>
              <w:rPr>
                <w:rFonts w:cs="Arial"/>
                <w:sz w:val="18"/>
                <w:szCs w:val="18"/>
              </w:rPr>
              <w:t xml:space="preserve"> </w:t>
            </w:r>
            <w:r>
              <w:rPr>
                <w:rFonts w:cs="Arial"/>
                <w:w w:val="105"/>
                <w:sz w:val="18"/>
                <w:szCs w:val="18"/>
              </w:rPr>
              <w:t>mil. Kč</w:t>
            </w:r>
          </w:p>
        </w:tc>
        <w:tc>
          <w:tcPr>
            <w:tcW w:w="1692" w:type="dxa"/>
            <w:gridSpan w:val="2"/>
          </w:tcPr>
          <w:p w14:paraId="0AFE19E2" w14:textId="715DD9B6" w:rsidR="00CB4A00" w:rsidRDefault="00CB4A00" w:rsidP="00C66961">
            <w:pPr>
              <w:jc w:val="both"/>
              <w:rPr>
                <w:rFonts w:cs="Arial"/>
                <w:sz w:val="18"/>
                <w:szCs w:val="18"/>
                <w:lang w:eastAsia="cs-CZ"/>
              </w:rPr>
            </w:pPr>
            <w:r w:rsidRPr="00E01F1B">
              <w:rPr>
                <w:rFonts w:cs="Arial"/>
                <w:w w:val="105"/>
                <w:sz w:val="18"/>
                <w:szCs w:val="18"/>
              </w:rPr>
              <w:t>TA</w:t>
            </w:r>
            <w:r w:rsidR="0060056A">
              <w:rPr>
                <w:rFonts w:cs="Arial"/>
                <w:w w:val="105"/>
                <w:sz w:val="18"/>
                <w:szCs w:val="18"/>
              </w:rPr>
              <w:t xml:space="preserve"> </w:t>
            </w:r>
            <w:r w:rsidRPr="00E01F1B">
              <w:rPr>
                <w:rFonts w:cs="Arial"/>
                <w:w w:val="105"/>
                <w:sz w:val="18"/>
                <w:szCs w:val="18"/>
              </w:rPr>
              <w:t>ČR ETA,</w:t>
            </w:r>
            <w:r w:rsidRPr="00E01F1B">
              <w:rPr>
                <w:rFonts w:cs="Arial"/>
                <w:spacing w:val="-15"/>
                <w:w w:val="105"/>
                <w:sz w:val="18"/>
                <w:szCs w:val="18"/>
              </w:rPr>
              <w:t xml:space="preserve"> </w:t>
            </w:r>
            <w:r w:rsidRPr="00E01F1B">
              <w:rPr>
                <w:rFonts w:cs="Arial"/>
                <w:w w:val="105"/>
                <w:sz w:val="18"/>
                <w:szCs w:val="18"/>
              </w:rPr>
              <w:t>Horizon, IROP</w:t>
            </w:r>
            <w:r w:rsidRPr="00E01F1B">
              <w:rPr>
                <w:rFonts w:cs="Arial"/>
                <w:spacing w:val="-1"/>
                <w:w w:val="105"/>
                <w:sz w:val="18"/>
                <w:szCs w:val="18"/>
              </w:rPr>
              <w:t xml:space="preserve"> </w:t>
            </w:r>
            <w:r w:rsidRPr="00136B34">
              <w:rPr>
                <w:rFonts w:cs="Arial"/>
                <w:w w:val="105"/>
                <w:sz w:val="18"/>
                <w:szCs w:val="18"/>
              </w:rPr>
              <w:t>(e-</w:t>
            </w:r>
            <w:r w:rsidRPr="00ED33E0">
              <w:rPr>
                <w:rFonts w:cs="Arial"/>
                <w:w w:val="105"/>
                <w:sz w:val="18"/>
                <w:szCs w:val="18"/>
              </w:rPr>
              <w:t>government), OP</w:t>
            </w:r>
            <w:r>
              <w:rPr>
                <w:rFonts w:cs="Arial"/>
                <w:w w:val="105"/>
                <w:sz w:val="18"/>
                <w:szCs w:val="18"/>
              </w:rPr>
              <w:t xml:space="preserve"> </w:t>
            </w:r>
            <w:r w:rsidRPr="00ED33E0">
              <w:rPr>
                <w:rFonts w:cs="Arial"/>
                <w:w w:val="105"/>
                <w:sz w:val="18"/>
                <w:szCs w:val="18"/>
              </w:rPr>
              <w:t xml:space="preserve">ST, </w:t>
            </w:r>
            <w:r w:rsidRPr="000F5DB1">
              <w:rPr>
                <w:rFonts w:cs="Arial"/>
                <w:w w:val="105"/>
                <w:sz w:val="18"/>
                <w:szCs w:val="18"/>
              </w:rPr>
              <w:t>vlastní zdroje ÚK</w:t>
            </w:r>
          </w:p>
        </w:tc>
        <w:tc>
          <w:tcPr>
            <w:tcW w:w="2748" w:type="dxa"/>
            <w:gridSpan w:val="2"/>
          </w:tcPr>
          <w:p w14:paraId="5133B530" w14:textId="77777777" w:rsidR="00CB4A00" w:rsidRDefault="00CB4A00" w:rsidP="00C66961">
            <w:pPr>
              <w:jc w:val="both"/>
              <w:rPr>
                <w:rFonts w:cs="Arial"/>
                <w:sz w:val="18"/>
                <w:szCs w:val="18"/>
                <w:lang w:eastAsia="cs-CZ"/>
              </w:rPr>
            </w:pPr>
            <w:r w:rsidRPr="00265468">
              <w:rPr>
                <w:rFonts w:cs="Arial"/>
                <w:sz w:val="18"/>
                <w:szCs w:val="18"/>
                <w:lang w:eastAsia="cs-CZ"/>
              </w:rPr>
              <w:t>Realizací projektu Digitální datové platformy Portabo Ústecký kraj získá unikátní řešení průřezového sdílení dat v regionu, zároveň jednotlivé subjekty v kraji budou mít lepší dostupnost k datům, které využijí při rozhodování ve věcích týkajících se jejich oblasti činnosti, čímž dojde k zefektivnění rozhodovacích procesů. Zároveň budou tyto data úplnější a konzistentnější. Zřízením platformy Portabo bude Ústecký kraj trend s regiony z vyspělých zemí Evropy. – čerpání dat pro zefektivnění přípravy projektů regionů.</w:t>
            </w:r>
          </w:p>
        </w:tc>
        <w:tc>
          <w:tcPr>
            <w:tcW w:w="2163" w:type="dxa"/>
          </w:tcPr>
          <w:p w14:paraId="47BAD438" w14:textId="77777777" w:rsidR="00CB4A00" w:rsidRDefault="00CB4A00" w:rsidP="00C66961">
            <w:pPr>
              <w:jc w:val="both"/>
              <w:rPr>
                <w:rFonts w:cs="Arial"/>
                <w:sz w:val="18"/>
                <w:szCs w:val="18"/>
                <w:lang w:eastAsia="cs-CZ"/>
              </w:rPr>
            </w:pPr>
            <w:r w:rsidRPr="00265468">
              <w:rPr>
                <w:rFonts w:cs="Arial"/>
                <w:sz w:val="18"/>
                <w:szCs w:val="18"/>
                <w:lang w:eastAsia="cs-CZ"/>
              </w:rPr>
              <w:t>Přispívá k ekonomické diversifikaci regionu, rozvoj nových smart oborů, posílení výzkumu, vývoje a inovací v oblasti IT, získávání a analýzy dat, jejich využitelnosti pro zkvalitnění života obyvatel strukturálně postiženého regionu.</w:t>
            </w:r>
          </w:p>
        </w:tc>
        <w:tc>
          <w:tcPr>
            <w:tcW w:w="2406" w:type="dxa"/>
          </w:tcPr>
          <w:p w14:paraId="656C43C1" w14:textId="77777777" w:rsidR="00CB4A00" w:rsidRDefault="00CB4A00" w:rsidP="00C66961">
            <w:pPr>
              <w:jc w:val="both"/>
              <w:rPr>
                <w:rFonts w:cs="Arial"/>
                <w:sz w:val="18"/>
                <w:szCs w:val="18"/>
                <w:lang w:eastAsia="cs-CZ"/>
              </w:rPr>
            </w:pPr>
            <w:r w:rsidRPr="00265468">
              <w:rPr>
                <w:rFonts w:cs="Arial"/>
                <w:sz w:val="18"/>
                <w:szCs w:val="18"/>
                <w:lang w:eastAsia="cs-CZ"/>
              </w:rPr>
              <w:t>Kraj, města a obce, obyvatelé regionu, firmy</w:t>
            </w:r>
          </w:p>
        </w:tc>
        <w:tc>
          <w:tcPr>
            <w:tcW w:w="1482" w:type="dxa"/>
            <w:vAlign w:val="center"/>
          </w:tcPr>
          <w:p w14:paraId="05703409" w14:textId="77777777" w:rsidR="00CB4A00" w:rsidRDefault="00CB4A00" w:rsidP="00C66961">
            <w:pPr>
              <w:jc w:val="center"/>
              <w:rPr>
                <w:rFonts w:cs="Arial"/>
                <w:sz w:val="18"/>
                <w:szCs w:val="18"/>
                <w:lang w:eastAsia="cs-CZ"/>
              </w:rPr>
            </w:pPr>
            <w:r w:rsidRPr="00265468">
              <w:rPr>
                <w:rFonts w:cs="Arial"/>
                <w:sz w:val="18"/>
                <w:szCs w:val="18"/>
                <w:lang w:eastAsia="cs-CZ"/>
              </w:rPr>
              <w:t>Transformační centrum ÚK – realizace části projektu</w:t>
            </w:r>
          </w:p>
        </w:tc>
      </w:tr>
      <w:tr w:rsidR="00CB4A00" w14:paraId="4CE8EAD1" w14:textId="77777777" w:rsidTr="00C66961">
        <w:trPr>
          <w:jc w:val="center"/>
        </w:trPr>
        <w:tc>
          <w:tcPr>
            <w:tcW w:w="14039" w:type="dxa"/>
            <w:gridSpan w:val="9"/>
            <w:shd w:val="clear" w:color="auto" w:fill="E2EFD9" w:themeFill="accent6" w:themeFillTint="33"/>
          </w:tcPr>
          <w:p w14:paraId="6AFED2C6" w14:textId="77777777" w:rsidR="00CB4A00" w:rsidRPr="00300D09" w:rsidRDefault="00CB4A00" w:rsidP="002E4092">
            <w:pPr>
              <w:pStyle w:val="Odstavecseseznamem"/>
              <w:numPr>
                <w:ilvl w:val="0"/>
                <w:numId w:val="8"/>
              </w:numPr>
              <w:jc w:val="center"/>
              <w:rPr>
                <w:rFonts w:cs="Arial"/>
                <w:sz w:val="18"/>
                <w:szCs w:val="18"/>
                <w:lang w:eastAsia="cs-CZ"/>
              </w:rPr>
            </w:pPr>
            <w:r w:rsidRPr="00300D09">
              <w:rPr>
                <w:rFonts w:cs="Arial"/>
                <w:b/>
                <w:w w:val="105"/>
                <w:sz w:val="18"/>
                <w:szCs w:val="18"/>
              </w:rPr>
              <w:t>Technologické centrum Ústeckého kraje</w:t>
            </w:r>
          </w:p>
        </w:tc>
      </w:tr>
      <w:tr w:rsidR="00CB4A00" w14:paraId="57CDC502" w14:textId="77777777" w:rsidTr="00C66961">
        <w:trPr>
          <w:jc w:val="center"/>
        </w:trPr>
        <w:tc>
          <w:tcPr>
            <w:tcW w:w="2547" w:type="dxa"/>
          </w:tcPr>
          <w:p w14:paraId="1E853B8E" w14:textId="77777777" w:rsidR="00CB4A00" w:rsidRDefault="00CB4A00" w:rsidP="00C66961">
            <w:pPr>
              <w:jc w:val="both"/>
              <w:rPr>
                <w:rFonts w:cs="Arial"/>
                <w:sz w:val="18"/>
                <w:szCs w:val="18"/>
                <w:lang w:eastAsia="cs-CZ"/>
              </w:rPr>
            </w:pPr>
            <w:r w:rsidRPr="00265468">
              <w:rPr>
                <w:rFonts w:cs="Arial"/>
                <w:sz w:val="18"/>
                <w:szCs w:val="18"/>
                <w:lang w:eastAsia="cs-CZ"/>
              </w:rPr>
              <w:t>Inovační infrastruktura poskytující zázemí technickým start-upům, podporu firmám při zavádění Průmyslu 4.0, pro popularizaci trendů a technologií, celkově také pro poskytování služeb, cílené podpoře podnikání v daném území s vizí vytvoření inovačního/ digitálního HUBu, který bude koncentrovat partnery, know-how a další projekty do jednoho místa v území.</w:t>
            </w:r>
          </w:p>
        </w:tc>
        <w:tc>
          <w:tcPr>
            <w:tcW w:w="1001" w:type="dxa"/>
          </w:tcPr>
          <w:p w14:paraId="784A7213" w14:textId="77777777" w:rsidR="00CB4A00" w:rsidRDefault="00CB4A00" w:rsidP="00C66961">
            <w:pPr>
              <w:rPr>
                <w:rFonts w:cs="Arial"/>
                <w:sz w:val="18"/>
                <w:szCs w:val="18"/>
                <w:lang w:eastAsia="cs-CZ"/>
              </w:rPr>
            </w:pPr>
            <w:r w:rsidRPr="00265468">
              <w:rPr>
                <w:rFonts w:cs="Arial"/>
                <w:sz w:val="18"/>
                <w:szCs w:val="18"/>
                <w:lang w:eastAsia="cs-CZ"/>
              </w:rPr>
              <w:t>558 mil. Kč</w:t>
            </w:r>
          </w:p>
        </w:tc>
        <w:tc>
          <w:tcPr>
            <w:tcW w:w="1692" w:type="dxa"/>
            <w:gridSpan w:val="2"/>
          </w:tcPr>
          <w:p w14:paraId="5B074BA5" w14:textId="0D01EAC3" w:rsidR="00CB4A00" w:rsidRPr="00265468" w:rsidRDefault="009F5526" w:rsidP="00C66961">
            <w:pPr>
              <w:rPr>
                <w:rFonts w:cs="Arial"/>
                <w:sz w:val="18"/>
                <w:szCs w:val="18"/>
                <w:lang w:eastAsia="cs-CZ"/>
              </w:rPr>
            </w:pPr>
            <w:r>
              <w:rPr>
                <w:rFonts w:cs="Arial"/>
                <w:sz w:val="18"/>
                <w:szCs w:val="18"/>
                <w:lang w:eastAsia="cs-CZ"/>
              </w:rPr>
              <w:t xml:space="preserve">OPST, komplementárně </w:t>
            </w:r>
            <w:r w:rsidR="00CB4A00" w:rsidRPr="00265468">
              <w:rPr>
                <w:rFonts w:cs="Arial"/>
                <w:sz w:val="18"/>
                <w:szCs w:val="18"/>
                <w:lang w:eastAsia="cs-CZ"/>
              </w:rPr>
              <w:t xml:space="preserve">OP TAK, OP ŽP, OP JAK </w:t>
            </w:r>
          </w:p>
          <w:p w14:paraId="41EDE5D0" w14:textId="77777777" w:rsidR="00CB4A00" w:rsidRPr="00265468" w:rsidRDefault="00CB4A00" w:rsidP="00C66961">
            <w:pPr>
              <w:rPr>
                <w:rFonts w:cs="Arial"/>
                <w:sz w:val="18"/>
                <w:szCs w:val="18"/>
                <w:lang w:eastAsia="cs-CZ"/>
              </w:rPr>
            </w:pPr>
            <w:r w:rsidRPr="00265468">
              <w:rPr>
                <w:rFonts w:cs="Arial"/>
                <w:sz w:val="18"/>
                <w:szCs w:val="18"/>
                <w:lang w:eastAsia="cs-CZ"/>
              </w:rPr>
              <w:t xml:space="preserve">(v závislosti na podmínkách </w:t>
            </w:r>
          </w:p>
          <w:p w14:paraId="5E96337A" w14:textId="5227BC4D" w:rsidR="00CB4A00" w:rsidRDefault="00CB4A00" w:rsidP="009F5526">
            <w:pPr>
              <w:rPr>
                <w:rFonts w:cs="Arial"/>
                <w:sz w:val="18"/>
                <w:szCs w:val="18"/>
                <w:lang w:eastAsia="cs-CZ"/>
              </w:rPr>
            </w:pPr>
            <w:r w:rsidRPr="00265468">
              <w:rPr>
                <w:rFonts w:cs="Arial"/>
                <w:sz w:val="18"/>
                <w:szCs w:val="18"/>
                <w:lang w:eastAsia="cs-CZ"/>
              </w:rPr>
              <w:t xml:space="preserve">a nastavení programu), </w:t>
            </w:r>
          </w:p>
        </w:tc>
        <w:tc>
          <w:tcPr>
            <w:tcW w:w="2748" w:type="dxa"/>
            <w:gridSpan w:val="2"/>
          </w:tcPr>
          <w:p w14:paraId="4341C422" w14:textId="77777777" w:rsidR="00CB4A00" w:rsidRDefault="00CB4A00" w:rsidP="00C66961">
            <w:pPr>
              <w:jc w:val="both"/>
              <w:rPr>
                <w:rFonts w:cs="Arial"/>
                <w:sz w:val="18"/>
                <w:szCs w:val="18"/>
                <w:lang w:eastAsia="cs-CZ"/>
              </w:rPr>
            </w:pPr>
            <w:r w:rsidRPr="00265468">
              <w:rPr>
                <w:rFonts w:cs="Arial"/>
                <w:sz w:val="18"/>
                <w:szCs w:val="18"/>
                <w:lang w:eastAsia="cs-CZ"/>
              </w:rPr>
              <w:t>Propagace a podpora využití nových výrobních technologií možnost zvýhodněného pronájmu pro začínající tech-firmy existence podnikatelského inkubátoru a sdílených prostor včetně doprovodných služeb a dalších navazujících projektů v budoucnu dle potřeby a poptávky.</w:t>
            </w:r>
          </w:p>
        </w:tc>
        <w:tc>
          <w:tcPr>
            <w:tcW w:w="2163" w:type="dxa"/>
          </w:tcPr>
          <w:p w14:paraId="4D0E2D02" w14:textId="77777777" w:rsidR="00CB4A00" w:rsidRPr="00265468" w:rsidRDefault="00CB4A00" w:rsidP="00C66961">
            <w:pPr>
              <w:jc w:val="both"/>
              <w:rPr>
                <w:rFonts w:cs="Arial"/>
                <w:sz w:val="18"/>
                <w:szCs w:val="18"/>
                <w:lang w:eastAsia="cs-CZ"/>
              </w:rPr>
            </w:pPr>
            <w:r w:rsidRPr="000F5DB1">
              <w:rPr>
                <w:rFonts w:cs="Arial"/>
                <w:sz w:val="18"/>
                <w:szCs w:val="18"/>
              </w:rPr>
              <w:t xml:space="preserve">Rozvoj budoucí diverzifikace ekonomických odvětví v kraji. Příliv kvalifikované odborné pracovní síly, </w:t>
            </w:r>
            <w:r w:rsidRPr="000F5DB1">
              <w:rPr>
                <w:rFonts w:cs="Arial"/>
                <w:w w:val="105"/>
                <w:sz w:val="18"/>
                <w:szCs w:val="18"/>
              </w:rPr>
              <w:t>zvýšení atraktivity regionu.</w:t>
            </w:r>
          </w:p>
        </w:tc>
        <w:tc>
          <w:tcPr>
            <w:tcW w:w="2406" w:type="dxa"/>
          </w:tcPr>
          <w:p w14:paraId="33E18BB4" w14:textId="77777777" w:rsidR="00CB4A00" w:rsidRDefault="00CB4A00" w:rsidP="00C66961">
            <w:pPr>
              <w:jc w:val="both"/>
              <w:rPr>
                <w:rFonts w:cs="Arial"/>
                <w:sz w:val="18"/>
                <w:szCs w:val="18"/>
                <w:lang w:eastAsia="cs-CZ"/>
              </w:rPr>
            </w:pPr>
            <w:r w:rsidRPr="00265468">
              <w:rPr>
                <w:rFonts w:cs="Arial"/>
                <w:sz w:val="18"/>
                <w:szCs w:val="18"/>
                <w:lang w:eastAsia="cs-CZ"/>
              </w:rPr>
              <w:t>Kraj, města a obce, obyvatelé regionu, firmy</w:t>
            </w:r>
          </w:p>
        </w:tc>
        <w:tc>
          <w:tcPr>
            <w:tcW w:w="1482" w:type="dxa"/>
            <w:vAlign w:val="center"/>
          </w:tcPr>
          <w:p w14:paraId="6EB95A65" w14:textId="77777777" w:rsidR="00CB4A00" w:rsidRDefault="00CB4A00" w:rsidP="00C66961">
            <w:pPr>
              <w:rPr>
                <w:rFonts w:cs="Arial"/>
                <w:sz w:val="18"/>
                <w:szCs w:val="18"/>
                <w:lang w:eastAsia="cs-CZ"/>
              </w:rPr>
            </w:pPr>
            <w:r w:rsidRPr="00265468">
              <w:rPr>
                <w:rFonts w:cs="Arial"/>
                <w:sz w:val="18"/>
                <w:szCs w:val="18"/>
                <w:lang w:eastAsia="cs-CZ"/>
              </w:rPr>
              <w:t>Transformační centrum ÚK</w:t>
            </w:r>
          </w:p>
        </w:tc>
      </w:tr>
      <w:tr w:rsidR="00CB4A00" w14:paraId="3A2BF4BA" w14:textId="77777777" w:rsidTr="00C66961">
        <w:trPr>
          <w:jc w:val="center"/>
        </w:trPr>
        <w:tc>
          <w:tcPr>
            <w:tcW w:w="14039" w:type="dxa"/>
            <w:gridSpan w:val="9"/>
            <w:shd w:val="clear" w:color="auto" w:fill="E2EFD9" w:themeFill="accent6" w:themeFillTint="33"/>
          </w:tcPr>
          <w:p w14:paraId="0C0BC25C" w14:textId="77777777" w:rsidR="00CB4A00" w:rsidRPr="0063106C" w:rsidRDefault="00CB4A00" w:rsidP="002E4092">
            <w:pPr>
              <w:pStyle w:val="Odstavecseseznamem"/>
              <w:numPr>
                <w:ilvl w:val="0"/>
                <w:numId w:val="8"/>
              </w:numPr>
              <w:jc w:val="center"/>
              <w:rPr>
                <w:rFonts w:cs="Arial"/>
                <w:b/>
                <w:bCs/>
                <w:sz w:val="18"/>
                <w:szCs w:val="18"/>
                <w:lang w:eastAsia="cs-CZ"/>
              </w:rPr>
            </w:pPr>
            <w:r w:rsidRPr="0063106C">
              <w:rPr>
                <w:rFonts w:cs="Arial"/>
                <w:b/>
                <w:bCs/>
                <w:sz w:val="18"/>
                <w:szCs w:val="18"/>
                <w:lang w:eastAsia="cs-CZ"/>
              </w:rPr>
              <w:t>Zvýšení kvality zdravotnické péče v uhelném regionu</w:t>
            </w:r>
          </w:p>
        </w:tc>
      </w:tr>
      <w:tr w:rsidR="00CB4A00" w14:paraId="6BDD0B29" w14:textId="77777777" w:rsidTr="00C66961">
        <w:trPr>
          <w:jc w:val="center"/>
        </w:trPr>
        <w:tc>
          <w:tcPr>
            <w:tcW w:w="2547" w:type="dxa"/>
          </w:tcPr>
          <w:p w14:paraId="43584AFA" w14:textId="77777777" w:rsidR="00CB4A00" w:rsidRPr="0063106C" w:rsidRDefault="00CB4A00" w:rsidP="00C66961">
            <w:pPr>
              <w:jc w:val="both"/>
              <w:rPr>
                <w:rFonts w:cs="Arial"/>
                <w:sz w:val="18"/>
                <w:szCs w:val="18"/>
                <w:lang w:eastAsia="cs-CZ"/>
              </w:rPr>
            </w:pPr>
            <w:r w:rsidRPr="0063106C">
              <w:rPr>
                <w:rFonts w:cs="Arial"/>
                <w:sz w:val="18"/>
                <w:szCs w:val="18"/>
                <w:lang w:eastAsia="cs-CZ"/>
              </w:rPr>
              <w:t xml:space="preserve">Nový pavilon </w:t>
            </w:r>
            <w:r w:rsidRPr="0063106C">
              <w:rPr>
                <w:rFonts w:cs="Arial"/>
                <w:b/>
                <w:bCs/>
                <w:sz w:val="18"/>
                <w:szCs w:val="18"/>
                <w:lang w:eastAsia="cs-CZ"/>
              </w:rPr>
              <w:t>Emergency včetně operačních sálů, centrální sterilizace a jednotek intenzivní péče</w:t>
            </w:r>
            <w:r w:rsidRPr="0063106C">
              <w:rPr>
                <w:rFonts w:cs="Arial"/>
                <w:sz w:val="18"/>
                <w:szCs w:val="18"/>
                <w:lang w:eastAsia="cs-CZ"/>
              </w:rPr>
              <w:t>, Krajská zdravotní, a.s. – Nemocnice Děčín, o.z.</w:t>
            </w:r>
          </w:p>
          <w:p w14:paraId="2D4136A2" w14:textId="77777777" w:rsidR="00CB4A00" w:rsidRPr="0063106C" w:rsidRDefault="00CB4A00" w:rsidP="00C66961">
            <w:pPr>
              <w:jc w:val="both"/>
              <w:rPr>
                <w:rFonts w:cs="Arial"/>
                <w:sz w:val="18"/>
                <w:szCs w:val="18"/>
                <w:lang w:eastAsia="cs-CZ"/>
              </w:rPr>
            </w:pPr>
          </w:p>
          <w:p w14:paraId="39D9A836" w14:textId="77777777" w:rsidR="00CB4A00" w:rsidRPr="0063106C" w:rsidRDefault="00CB4A00" w:rsidP="00C66961">
            <w:pPr>
              <w:jc w:val="both"/>
              <w:rPr>
                <w:rFonts w:cs="Arial"/>
                <w:sz w:val="18"/>
                <w:szCs w:val="18"/>
                <w:lang w:eastAsia="cs-CZ"/>
              </w:rPr>
            </w:pPr>
            <w:r w:rsidRPr="0063106C">
              <w:rPr>
                <w:rFonts w:cs="Arial"/>
                <w:sz w:val="18"/>
                <w:szCs w:val="18"/>
                <w:lang w:eastAsia="cs-CZ"/>
              </w:rPr>
              <w:t xml:space="preserve">Nový pavilon </w:t>
            </w:r>
            <w:r w:rsidRPr="0063106C">
              <w:rPr>
                <w:rFonts w:cs="Arial"/>
                <w:b/>
                <w:bCs/>
                <w:sz w:val="18"/>
                <w:szCs w:val="18"/>
                <w:lang w:eastAsia="cs-CZ"/>
              </w:rPr>
              <w:t>Emergency, COS, vč. JIP a nadzemní spojovací koridor se stávajícím pavilonem G</w:t>
            </w:r>
            <w:r w:rsidRPr="0063106C">
              <w:rPr>
                <w:rFonts w:cs="Arial"/>
                <w:sz w:val="18"/>
                <w:szCs w:val="18"/>
                <w:lang w:eastAsia="cs-CZ"/>
              </w:rPr>
              <w:t>, Krajská zdravotní, a.s. - Nemocnice Chomutov, o.z.</w:t>
            </w:r>
          </w:p>
          <w:p w14:paraId="6E1704C5" w14:textId="77777777" w:rsidR="00CB4A00" w:rsidRPr="0063106C" w:rsidRDefault="00CB4A00" w:rsidP="00C66961">
            <w:pPr>
              <w:jc w:val="both"/>
              <w:rPr>
                <w:rFonts w:cs="Arial"/>
                <w:sz w:val="18"/>
                <w:szCs w:val="18"/>
                <w:lang w:eastAsia="cs-CZ"/>
              </w:rPr>
            </w:pPr>
          </w:p>
          <w:p w14:paraId="041EDBA7" w14:textId="77777777" w:rsidR="00CB4A00" w:rsidRPr="0063106C" w:rsidRDefault="00CB4A00" w:rsidP="00C66961">
            <w:pPr>
              <w:jc w:val="both"/>
              <w:rPr>
                <w:rFonts w:cs="Arial"/>
                <w:sz w:val="18"/>
                <w:szCs w:val="18"/>
                <w:lang w:eastAsia="cs-CZ"/>
              </w:rPr>
            </w:pPr>
            <w:r>
              <w:rPr>
                <w:rFonts w:cs="Arial"/>
                <w:sz w:val="18"/>
                <w:szCs w:val="18"/>
                <w:lang w:eastAsia="cs-CZ"/>
              </w:rPr>
              <w:t>P</w:t>
            </w:r>
            <w:r w:rsidRPr="0063106C">
              <w:rPr>
                <w:rFonts w:cs="Arial"/>
                <w:sz w:val="18"/>
                <w:szCs w:val="18"/>
                <w:lang w:eastAsia="cs-CZ"/>
              </w:rPr>
              <w:t xml:space="preserve">rojekt se zaměřuje podporu a rozvoj zdravotnictví modernizaci operačních sálů, </w:t>
            </w:r>
            <w:r w:rsidRPr="0063106C">
              <w:rPr>
                <w:rFonts w:cs="Arial"/>
                <w:sz w:val="18"/>
                <w:szCs w:val="18"/>
                <w:lang w:eastAsia="cs-CZ"/>
              </w:rPr>
              <w:lastRenderedPageBreak/>
              <w:t>zajištění kvalitní dostatečné lékařské péče na území celého kraje.</w:t>
            </w:r>
          </w:p>
          <w:p w14:paraId="2EDD404E" w14:textId="77777777" w:rsidR="00CB4A00" w:rsidRDefault="00CB4A00" w:rsidP="00C66961">
            <w:pPr>
              <w:jc w:val="both"/>
              <w:rPr>
                <w:rFonts w:cs="Arial"/>
                <w:sz w:val="18"/>
                <w:szCs w:val="18"/>
                <w:lang w:eastAsia="cs-CZ"/>
              </w:rPr>
            </w:pPr>
            <w:r w:rsidRPr="0063106C">
              <w:rPr>
                <w:rFonts w:cs="Arial"/>
                <w:sz w:val="18"/>
                <w:szCs w:val="18"/>
                <w:lang w:eastAsia="cs-CZ"/>
              </w:rPr>
              <w:t>Přímé dopady: zatraktivnění životních podmínek obyvatel Ústeckého kraje, vytvoření pracovních míst pro vysoce kvalifikované specialisty a podpoře pozitivního image kraje.</w:t>
            </w:r>
          </w:p>
        </w:tc>
        <w:tc>
          <w:tcPr>
            <w:tcW w:w="1001" w:type="dxa"/>
          </w:tcPr>
          <w:p w14:paraId="78F8B15F" w14:textId="77777777" w:rsidR="00CB4A00" w:rsidRDefault="00CB4A00" w:rsidP="00C66961">
            <w:pPr>
              <w:rPr>
                <w:rFonts w:cs="Arial"/>
                <w:sz w:val="18"/>
                <w:szCs w:val="18"/>
                <w:lang w:eastAsia="cs-CZ"/>
              </w:rPr>
            </w:pPr>
            <w:r w:rsidRPr="0063106C">
              <w:rPr>
                <w:rFonts w:cs="Arial"/>
                <w:sz w:val="18"/>
                <w:szCs w:val="18"/>
                <w:lang w:eastAsia="cs-CZ"/>
              </w:rPr>
              <w:lastRenderedPageBreak/>
              <w:t>1 900 mil. Kč</w:t>
            </w:r>
          </w:p>
        </w:tc>
        <w:tc>
          <w:tcPr>
            <w:tcW w:w="1692" w:type="dxa"/>
            <w:gridSpan w:val="2"/>
          </w:tcPr>
          <w:p w14:paraId="77B97CD3" w14:textId="596FB0EF" w:rsidR="00CB4A00" w:rsidRDefault="00CB4A00" w:rsidP="00C66961">
            <w:pPr>
              <w:jc w:val="both"/>
              <w:rPr>
                <w:rFonts w:cs="Arial"/>
                <w:sz w:val="18"/>
                <w:szCs w:val="18"/>
                <w:lang w:eastAsia="cs-CZ"/>
              </w:rPr>
            </w:pPr>
            <w:r w:rsidRPr="0063106C">
              <w:rPr>
                <w:rFonts w:cs="Arial"/>
                <w:sz w:val="18"/>
                <w:szCs w:val="18"/>
                <w:lang w:eastAsia="cs-CZ"/>
              </w:rPr>
              <w:t>EU fondy - 2021+ (nástupce IROP), EIB</w:t>
            </w:r>
          </w:p>
        </w:tc>
        <w:tc>
          <w:tcPr>
            <w:tcW w:w="2748" w:type="dxa"/>
            <w:gridSpan w:val="2"/>
          </w:tcPr>
          <w:p w14:paraId="21F69979" w14:textId="77777777" w:rsidR="00CB4A00" w:rsidRDefault="00CB4A00" w:rsidP="00C66961">
            <w:pPr>
              <w:jc w:val="both"/>
              <w:rPr>
                <w:rFonts w:cs="Arial"/>
                <w:sz w:val="18"/>
                <w:szCs w:val="18"/>
                <w:lang w:eastAsia="cs-CZ"/>
              </w:rPr>
            </w:pPr>
            <w:r w:rsidRPr="0063106C">
              <w:rPr>
                <w:rFonts w:cs="Arial"/>
                <w:sz w:val="18"/>
                <w:szCs w:val="18"/>
                <w:lang w:eastAsia="cs-CZ"/>
              </w:rPr>
              <w:t xml:space="preserve">Modernizace zdravotnické infrastruktury a zvýšení kapacit povede k zatraktivnění životních      podmínek obyvatel Ústeckého kraje, vytvoření pracovních míst pro vysoce kvalifikované specialisty a podpoře pozitivního image kraje. Pozitivní externalitou je generování nových pracovních příležitostí pro mladé lékaře a přilákání vysoce kvalifikované pracovní síly do regionu. Stabilizace a dostupnost kvalitní zdravotní péče rovněž </w:t>
            </w:r>
            <w:proofErr w:type="gramStart"/>
            <w:r w:rsidRPr="0063106C">
              <w:rPr>
                <w:rFonts w:cs="Arial"/>
                <w:sz w:val="18"/>
                <w:szCs w:val="18"/>
                <w:lang w:eastAsia="cs-CZ"/>
              </w:rPr>
              <w:t>patří</w:t>
            </w:r>
            <w:proofErr w:type="gramEnd"/>
            <w:r w:rsidRPr="0063106C">
              <w:rPr>
                <w:rFonts w:cs="Arial"/>
                <w:sz w:val="18"/>
                <w:szCs w:val="18"/>
                <w:lang w:eastAsia="cs-CZ"/>
              </w:rPr>
              <w:t xml:space="preserve"> mezi významné faktory ovlivňující setrvání v krajích, ale </w:t>
            </w:r>
            <w:r w:rsidRPr="0063106C">
              <w:rPr>
                <w:rFonts w:cs="Arial"/>
                <w:sz w:val="18"/>
                <w:szCs w:val="18"/>
                <w:lang w:eastAsia="cs-CZ"/>
              </w:rPr>
              <w:lastRenderedPageBreak/>
              <w:t>i pro příliv strategických investorů.</w:t>
            </w:r>
          </w:p>
        </w:tc>
        <w:tc>
          <w:tcPr>
            <w:tcW w:w="2163" w:type="dxa"/>
          </w:tcPr>
          <w:p w14:paraId="0C6A8350" w14:textId="77777777" w:rsidR="00CB4A00" w:rsidRDefault="00CB4A00" w:rsidP="00C66961">
            <w:pPr>
              <w:jc w:val="both"/>
              <w:rPr>
                <w:rFonts w:cs="Arial"/>
                <w:sz w:val="18"/>
                <w:szCs w:val="18"/>
                <w:lang w:eastAsia="cs-CZ"/>
              </w:rPr>
            </w:pPr>
            <w:r w:rsidRPr="0063106C">
              <w:rPr>
                <w:rFonts w:cs="Arial"/>
                <w:sz w:val="18"/>
                <w:szCs w:val="18"/>
                <w:lang w:eastAsia="cs-CZ"/>
              </w:rPr>
              <w:lastRenderedPageBreak/>
              <w:t>Zkvalitnění života území ve strukturálně postižených regionech, zamezení odchodu obyvatel z území, změna image kraje (černý region), snížení počtu nezaměstnaných lidí.</w:t>
            </w:r>
          </w:p>
        </w:tc>
        <w:tc>
          <w:tcPr>
            <w:tcW w:w="2406" w:type="dxa"/>
          </w:tcPr>
          <w:p w14:paraId="6D3C4B0F" w14:textId="77777777" w:rsidR="00CB4A00" w:rsidRDefault="00CB4A00" w:rsidP="00C66961">
            <w:pPr>
              <w:jc w:val="both"/>
              <w:rPr>
                <w:rFonts w:cs="Arial"/>
                <w:sz w:val="18"/>
                <w:szCs w:val="18"/>
                <w:lang w:eastAsia="cs-CZ"/>
              </w:rPr>
            </w:pPr>
            <w:r w:rsidRPr="0063106C">
              <w:rPr>
                <w:rFonts w:cs="Arial"/>
                <w:sz w:val="18"/>
                <w:szCs w:val="18"/>
                <w:lang w:eastAsia="cs-CZ"/>
              </w:rPr>
              <w:t>Cílové skupiny – obyvatele regionu a podnikatelské subjekty, lékaři, vědecké instituce, studenti</w:t>
            </w:r>
          </w:p>
        </w:tc>
        <w:tc>
          <w:tcPr>
            <w:tcW w:w="1482" w:type="dxa"/>
            <w:vAlign w:val="center"/>
          </w:tcPr>
          <w:p w14:paraId="3D1864BA" w14:textId="77777777" w:rsidR="00CB4A00" w:rsidRDefault="00CB4A00" w:rsidP="00C66961">
            <w:pPr>
              <w:jc w:val="center"/>
              <w:rPr>
                <w:rFonts w:cs="Arial"/>
                <w:sz w:val="18"/>
                <w:szCs w:val="18"/>
                <w:lang w:eastAsia="cs-CZ"/>
              </w:rPr>
            </w:pPr>
            <w:r>
              <w:rPr>
                <w:rFonts w:cs="Arial"/>
                <w:sz w:val="18"/>
                <w:szCs w:val="18"/>
                <w:lang w:eastAsia="cs-CZ"/>
              </w:rPr>
              <w:t>X</w:t>
            </w:r>
          </w:p>
        </w:tc>
      </w:tr>
    </w:tbl>
    <w:p w14:paraId="1A020AB3" w14:textId="77777777" w:rsidR="00CB4A00" w:rsidRDefault="00CB4A00" w:rsidP="00CB4A00">
      <w:pPr>
        <w:rPr>
          <w:rFonts w:cs="Arial"/>
          <w:sz w:val="18"/>
          <w:szCs w:val="18"/>
          <w:lang w:eastAsia="cs-CZ"/>
        </w:rPr>
      </w:pPr>
    </w:p>
    <w:p w14:paraId="5B613098" w14:textId="77777777" w:rsidR="00CB4A00" w:rsidRDefault="00CB4A00" w:rsidP="00CB4A00">
      <w:pPr>
        <w:rPr>
          <w:rFonts w:cs="Arial"/>
          <w:sz w:val="18"/>
          <w:szCs w:val="18"/>
          <w:lang w:eastAsia="cs-CZ"/>
        </w:rPr>
      </w:pPr>
      <w:r>
        <w:rPr>
          <w:rFonts w:cs="Arial"/>
          <w:sz w:val="18"/>
          <w:szCs w:val="18"/>
          <w:lang w:eastAsia="cs-CZ"/>
        </w:rPr>
        <w:br w:type="page"/>
      </w:r>
    </w:p>
    <w:p w14:paraId="3A922092" w14:textId="77777777" w:rsidR="00CB4A00" w:rsidRPr="00300D09" w:rsidRDefault="00CB4A00" w:rsidP="000264FB">
      <w:pPr>
        <w:pStyle w:val="Nadpis2"/>
        <w:numPr>
          <w:ilvl w:val="0"/>
          <w:numId w:val="0"/>
        </w:numPr>
        <w:ind w:left="576" w:hanging="576"/>
        <w:rPr>
          <w:rFonts w:cs="Arial"/>
          <w:sz w:val="28"/>
          <w:szCs w:val="18"/>
        </w:rPr>
      </w:pPr>
      <w:bookmarkStart w:id="82" w:name="_Toc63804174"/>
      <w:bookmarkStart w:id="83" w:name="_Toc115435288"/>
      <w:bookmarkStart w:id="84" w:name="_Toc175743073"/>
      <w:r w:rsidRPr="26266EC3">
        <w:rPr>
          <w:rFonts w:eastAsia="Times New Roman" w:cs="Arial"/>
          <w:sz w:val="28"/>
          <w:szCs w:val="28"/>
          <w:lang w:eastAsia="cs-CZ"/>
        </w:rPr>
        <w:lastRenderedPageBreak/>
        <w:t>Moravskoslezský kraj</w:t>
      </w:r>
      <w:bookmarkEnd w:id="82"/>
      <w:bookmarkEnd w:id="83"/>
      <w:bookmarkEnd w:id="84"/>
    </w:p>
    <w:tbl>
      <w:tblPr>
        <w:tblStyle w:val="Mkatabulky"/>
        <w:tblW w:w="14039" w:type="dxa"/>
        <w:jc w:val="center"/>
        <w:tblLayout w:type="fixed"/>
        <w:tblLook w:val="04A0" w:firstRow="1" w:lastRow="0" w:firstColumn="1" w:lastColumn="0" w:noHBand="0" w:noVBand="1"/>
      </w:tblPr>
      <w:tblGrid>
        <w:gridCol w:w="2547"/>
        <w:gridCol w:w="1001"/>
        <w:gridCol w:w="1686"/>
        <w:gridCol w:w="6"/>
        <w:gridCol w:w="2740"/>
        <w:gridCol w:w="8"/>
        <w:gridCol w:w="2163"/>
        <w:gridCol w:w="2406"/>
        <w:gridCol w:w="1482"/>
      </w:tblGrid>
      <w:tr w:rsidR="00CB4A00" w14:paraId="74A0F701" w14:textId="77777777" w:rsidTr="00C66961">
        <w:trPr>
          <w:tblHeader/>
          <w:jc w:val="center"/>
        </w:trPr>
        <w:tc>
          <w:tcPr>
            <w:tcW w:w="2547" w:type="dxa"/>
            <w:shd w:val="clear" w:color="auto" w:fill="FFC000"/>
            <w:vAlign w:val="center"/>
          </w:tcPr>
          <w:p w14:paraId="12F8435B"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Popis projektu</w:t>
            </w:r>
          </w:p>
        </w:tc>
        <w:tc>
          <w:tcPr>
            <w:tcW w:w="1001" w:type="dxa"/>
            <w:shd w:val="clear" w:color="auto" w:fill="FFC000"/>
            <w:vAlign w:val="center"/>
          </w:tcPr>
          <w:p w14:paraId="593CA404"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Finanční náklady </w:t>
            </w:r>
          </w:p>
        </w:tc>
        <w:tc>
          <w:tcPr>
            <w:tcW w:w="1686" w:type="dxa"/>
            <w:shd w:val="clear" w:color="auto" w:fill="FFC000"/>
            <w:vAlign w:val="center"/>
          </w:tcPr>
          <w:p w14:paraId="066D22DF"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Předpokládaný zdroj </w:t>
            </w:r>
            <w:r>
              <w:rPr>
                <w:rStyle w:val="Znakapoznpodarou"/>
                <w:rFonts w:cs="Arial"/>
                <w:b/>
                <w:bCs/>
                <w:sz w:val="18"/>
                <w:szCs w:val="18"/>
                <w:lang w:eastAsia="cs-CZ"/>
              </w:rPr>
              <w:footnoteReference w:id="5"/>
            </w:r>
            <w:r w:rsidRPr="0003524B">
              <w:rPr>
                <w:rFonts w:cs="Arial"/>
                <w:b/>
                <w:bCs/>
                <w:sz w:val="18"/>
                <w:szCs w:val="18"/>
                <w:lang w:eastAsia="cs-CZ"/>
              </w:rPr>
              <w:t>financování</w:t>
            </w:r>
          </w:p>
        </w:tc>
        <w:tc>
          <w:tcPr>
            <w:tcW w:w="2746" w:type="dxa"/>
            <w:gridSpan w:val="2"/>
            <w:shd w:val="clear" w:color="auto" w:fill="FFC000"/>
            <w:vAlign w:val="center"/>
          </w:tcPr>
          <w:p w14:paraId="23DF6A54"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Přímé nebo nepřímé hospodářské dopady</w:t>
            </w:r>
          </w:p>
        </w:tc>
        <w:tc>
          <w:tcPr>
            <w:tcW w:w="2171" w:type="dxa"/>
            <w:gridSpan w:val="2"/>
            <w:shd w:val="clear" w:color="auto" w:fill="FFC000"/>
            <w:vAlign w:val="center"/>
          </w:tcPr>
          <w:p w14:paraId="4CFEDD86"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Přímé dopady na restrukturalizaci kraje</w:t>
            </w:r>
          </w:p>
        </w:tc>
        <w:tc>
          <w:tcPr>
            <w:tcW w:w="2406" w:type="dxa"/>
            <w:shd w:val="clear" w:color="auto" w:fill="FFC000"/>
            <w:vAlign w:val="center"/>
          </w:tcPr>
          <w:p w14:paraId="688542AE"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Dopady na významnou část území</w:t>
            </w:r>
          </w:p>
        </w:tc>
        <w:tc>
          <w:tcPr>
            <w:tcW w:w="1482" w:type="dxa"/>
            <w:shd w:val="clear" w:color="auto" w:fill="FFC000"/>
            <w:vAlign w:val="center"/>
          </w:tcPr>
          <w:p w14:paraId="5B5C07B8"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Vazba na SP OPST</w:t>
            </w:r>
          </w:p>
        </w:tc>
      </w:tr>
      <w:tr w:rsidR="00CB4A00" w14:paraId="152A7F57" w14:textId="77777777" w:rsidTr="00C66961">
        <w:trPr>
          <w:trHeight w:val="340"/>
          <w:jc w:val="center"/>
        </w:trPr>
        <w:tc>
          <w:tcPr>
            <w:tcW w:w="14039" w:type="dxa"/>
            <w:gridSpan w:val="9"/>
            <w:shd w:val="clear" w:color="auto" w:fill="D0CECE" w:themeFill="background2" w:themeFillShade="E6"/>
            <w:vAlign w:val="center"/>
          </w:tcPr>
          <w:p w14:paraId="5E30E769"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Hlavní rozvojové projekty – </w:t>
            </w:r>
            <w:r>
              <w:rPr>
                <w:rFonts w:cs="Arial"/>
                <w:b/>
                <w:bCs/>
                <w:sz w:val="18"/>
                <w:szCs w:val="18"/>
                <w:lang w:eastAsia="cs-CZ"/>
              </w:rPr>
              <w:t>Moravskoslezský kraj</w:t>
            </w:r>
          </w:p>
        </w:tc>
      </w:tr>
      <w:tr w:rsidR="00CB4A00" w14:paraId="0364C525" w14:textId="77777777" w:rsidTr="00C66961">
        <w:trPr>
          <w:jc w:val="center"/>
        </w:trPr>
        <w:tc>
          <w:tcPr>
            <w:tcW w:w="14039" w:type="dxa"/>
            <w:gridSpan w:val="9"/>
            <w:shd w:val="clear" w:color="auto" w:fill="D9E2F3" w:themeFill="accent5" w:themeFillTint="33"/>
            <w:vAlign w:val="center"/>
          </w:tcPr>
          <w:p w14:paraId="1A63D811" w14:textId="77777777" w:rsidR="00CB4A00" w:rsidRPr="00300D09" w:rsidRDefault="00CB4A00" w:rsidP="002E4092">
            <w:pPr>
              <w:pStyle w:val="Odstavecseseznamem"/>
              <w:numPr>
                <w:ilvl w:val="0"/>
                <w:numId w:val="9"/>
              </w:numPr>
              <w:jc w:val="center"/>
              <w:rPr>
                <w:rFonts w:cs="Arial"/>
                <w:b/>
                <w:bCs/>
                <w:sz w:val="18"/>
                <w:szCs w:val="18"/>
                <w:lang w:eastAsia="cs-CZ"/>
              </w:rPr>
            </w:pPr>
            <w:r w:rsidRPr="00300D09">
              <w:rPr>
                <w:rFonts w:cs="Arial"/>
                <w:b/>
                <w:bCs/>
                <w:sz w:val="18"/>
                <w:szCs w:val="18"/>
                <w:lang w:eastAsia="cs-CZ"/>
              </w:rPr>
              <w:t>SMART District (výstavba a technologické vybavení inovační infrastruktury MSIC a další rozvoj inovačního ekosystému)</w:t>
            </w:r>
          </w:p>
        </w:tc>
      </w:tr>
      <w:tr w:rsidR="00CB4A00" w14:paraId="28BEE5D5" w14:textId="77777777" w:rsidTr="00C66961">
        <w:trPr>
          <w:jc w:val="center"/>
        </w:trPr>
        <w:tc>
          <w:tcPr>
            <w:tcW w:w="2547" w:type="dxa"/>
            <w:tcBorders>
              <w:bottom w:val="single" w:sz="4" w:space="0" w:color="auto"/>
            </w:tcBorders>
          </w:tcPr>
          <w:p w14:paraId="4BEBBC10" w14:textId="77777777" w:rsidR="00CB4A00" w:rsidRPr="00300D09" w:rsidRDefault="00CB4A00" w:rsidP="00C66961">
            <w:pPr>
              <w:jc w:val="both"/>
              <w:rPr>
                <w:rFonts w:cs="Arial"/>
                <w:sz w:val="18"/>
                <w:szCs w:val="18"/>
                <w:lang w:eastAsia="cs-CZ"/>
              </w:rPr>
            </w:pPr>
            <w:r w:rsidRPr="00300D09">
              <w:rPr>
                <w:rFonts w:cs="Arial"/>
                <w:sz w:val="18"/>
                <w:szCs w:val="18"/>
                <w:lang w:eastAsia="cs-CZ"/>
              </w:rPr>
              <w:t>Posláním projektu je rozvoj území a infrastruktury technologického parku provozovaného MSIC, tak aby došlo k naplnění následujících cílů:</w:t>
            </w:r>
          </w:p>
          <w:p w14:paraId="2D9A7E51" w14:textId="77777777" w:rsidR="00CB4A00" w:rsidRPr="00300D09" w:rsidRDefault="00CB4A00" w:rsidP="00C66961">
            <w:pPr>
              <w:jc w:val="both"/>
              <w:rPr>
                <w:rFonts w:cs="Arial"/>
                <w:sz w:val="18"/>
                <w:szCs w:val="18"/>
                <w:lang w:eastAsia="cs-CZ"/>
              </w:rPr>
            </w:pPr>
            <w:r w:rsidRPr="00300D09">
              <w:rPr>
                <w:rFonts w:cs="Arial"/>
                <w:sz w:val="18"/>
                <w:szCs w:val="18"/>
                <w:lang w:eastAsia="cs-CZ"/>
              </w:rPr>
              <w:t>1</w:t>
            </w:r>
            <w:r>
              <w:rPr>
                <w:rFonts w:cs="Arial"/>
                <w:sz w:val="18"/>
                <w:szCs w:val="18"/>
                <w:lang w:eastAsia="cs-CZ"/>
              </w:rPr>
              <w:t xml:space="preserve">. </w:t>
            </w:r>
            <w:r w:rsidRPr="00300D09">
              <w:rPr>
                <w:rFonts w:cs="Arial"/>
                <w:sz w:val="18"/>
                <w:szCs w:val="18"/>
                <w:lang w:eastAsia="cs-CZ"/>
              </w:rPr>
              <w:t>Postupné</w:t>
            </w:r>
            <w:r>
              <w:rPr>
                <w:rFonts w:cs="Arial"/>
                <w:sz w:val="18"/>
                <w:szCs w:val="18"/>
                <w:lang w:eastAsia="cs-CZ"/>
              </w:rPr>
              <w:t xml:space="preserve"> r</w:t>
            </w:r>
            <w:r w:rsidRPr="00300D09">
              <w:rPr>
                <w:rFonts w:cs="Arial"/>
                <w:sz w:val="18"/>
                <w:szCs w:val="18"/>
                <w:lang w:eastAsia="cs-CZ"/>
              </w:rPr>
              <w:t>ozšiřování kapacity prostor k pronájmu firmám a pro sdílené služby podpory inovací</w:t>
            </w:r>
          </w:p>
          <w:p w14:paraId="1AECAE5D" w14:textId="77777777" w:rsidR="00CB4A00" w:rsidRPr="00300D09" w:rsidRDefault="00CB4A00" w:rsidP="00C66961">
            <w:pPr>
              <w:jc w:val="both"/>
              <w:rPr>
                <w:rFonts w:cs="Arial"/>
                <w:sz w:val="18"/>
                <w:szCs w:val="18"/>
                <w:lang w:eastAsia="cs-CZ"/>
              </w:rPr>
            </w:pPr>
            <w:r w:rsidRPr="00300D09">
              <w:rPr>
                <w:rFonts w:cs="Arial"/>
                <w:sz w:val="18"/>
                <w:szCs w:val="18"/>
                <w:lang w:eastAsia="cs-CZ"/>
              </w:rPr>
              <w:t>2</w:t>
            </w:r>
            <w:r>
              <w:rPr>
                <w:rFonts w:cs="Arial"/>
                <w:sz w:val="18"/>
                <w:szCs w:val="18"/>
                <w:lang w:eastAsia="cs-CZ"/>
              </w:rPr>
              <w:t xml:space="preserve">. </w:t>
            </w:r>
            <w:r w:rsidRPr="00300D09">
              <w:rPr>
                <w:rFonts w:cs="Arial"/>
                <w:sz w:val="18"/>
                <w:szCs w:val="18"/>
                <w:lang w:eastAsia="cs-CZ"/>
              </w:rPr>
              <w:t>Aplikace, demonstrace a využití nových technologií při rozvoji infrastruktury technologického parku na základě generelu schváleného akcionáři</w:t>
            </w:r>
          </w:p>
          <w:p w14:paraId="04E9DD76" w14:textId="77777777" w:rsidR="00CB4A00" w:rsidRDefault="00CB4A00" w:rsidP="00C66961">
            <w:pPr>
              <w:jc w:val="both"/>
              <w:rPr>
                <w:rFonts w:cs="Arial"/>
                <w:sz w:val="18"/>
                <w:szCs w:val="18"/>
                <w:lang w:eastAsia="cs-CZ"/>
              </w:rPr>
            </w:pPr>
            <w:r w:rsidRPr="00300D09">
              <w:rPr>
                <w:rFonts w:cs="Arial"/>
                <w:sz w:val="18"/>
                <w:szCs w:val="18"/>
                <w:lang w:eastAsia="cs-CZ"/>
              </w:rPr>
              <w:t>3</w:t>
            </w:r>
            <w:r>
              <w:rPr>
                <w:rFonts w:cs="Arial"/>
                <w:sz w:val="18"/>
                <w:szCs w:val="18"/>
                <w:lang w:eastAsia="cs-CZ"/>
              </w:rPr>
              <w:t xml:space="preserve">. </w:t>
            </w:r>
            <w:r w:rsidRPr="00300D09">
              <w:rPr>
                <w:rFonts w:cs="Arial"/>
                <w:sz w:val="18"/>
                <w:szCs w:val="18"/>
                <w:lang w:eastAsia="cs-CZ"/>
              </w:rPr>
              <w:t>Součinnost MSIC a VŠB-TUO v rozvoji na sebe navazujících areálů vedená snahou implementace principů chytrého města v</w:t>
            </w:r>
            <w:r>
              <w:rPr>
                <w:rFonts w:cs="Arial"/>
                <w:sz w:val="18"/>
                <w:szCs w:val="18"/>
                <w:lang w:eastAsia="cs-CZ"/>
              </w:rPr>
              <w:t> </w:t>
            </w:r>
            <w:r w:rsidRPr="00300D09">
              <w:rPr>
                <w:rFonts w:cs="Arial"/>
                <w:sz w:val="18"/>
                <w:szCs w:val="18"/>
                <w:lang w:eastAsia="cs-CZ"/>
              </w:rPr>
              <w:t>praxi</w:t>
            </w:r>
            <w:r>
              <w:rPr>
                <w:rFonts w:cs="Arial"/>
                <w:sz w:val="18"/>
                <w:szCs w:val="18"/>
                <w:lang w:eastAsia="cs-CZ"/>
              </w:rPr>
              <w:t>.</w:t>
            </w:r>
          </w:p>
        </w:tc>
        <w:tc>
          <w:tcPr>
            <w:tcW w:w="1001" w:type="dxa"/>
            <w:tcBorders>
              <w:bottom w:val="single" w:sz="4" w:space="0" w:color="auto"/>
            </w:tcBorders>
          </w:tcPr>
          <w:p w14:paraId="1AE1A9C6" w14:textId="77777777" w:rsidR="00CB4A00" w:rsidRPr="00300D09" w:rsidRDefault="00CB4A00" w:rsidP="00C66961">
            <w:pPr>
              <w:jc w:val="both"/>
              <w:rPr>
                <w:rFonts w:cs="Arial"/>
                <w:sz w:val="18"/>
                <w:szCs w:val="18"/>
                <w:lang w:eastAsia="cs-CZ"/>
              </w:rPr>
            </w:pPr>
            <w:r w:rsidRPr="00300D09">
              <w:rPr>
                <w:rFonts w:cs="Arial"/>
                <w:sz w:val="18"/>
                <w:szCs w:val="18"/>
                <w:lang w:eastAsia="cs-CZ"/>
              </w:rPr>
              <w:t>3 mld. Kč</w:t>
            </w:r>
          </w:p>
          <w:p w14:paraId="5E3AC35B" w14:textId="77777777" w:rsidR="00CB4A00" w:rsidRDefault="00CB4A00" w:rsidP="00C66961">
            <w:pPr>
              <w:jc w:val="both"/>
              <w:rPr>
                <w:rFonts w:cs="Arial"/>
                <w:sz w:val="18"/>
                <w:szCs w:val="18"/>
                <w:lang w:eastAsia="cs-CZ"/>
              </w:rPr>
            </w:pPr>
            <w:r w:rsidRPr="00300D09">
              <w:rPr>
                <w:rFonts w:cs="Arial"/>
                <w:sz w:val="18"/>
                <w:szCs w:val="18"/>
                <w:lang w:eastAsia="cs-CZ"/>
              </w:rPr>
              <w:t>(do 2027)</w:t>
            </w:r>
          </w:p>
        </w:tc>
        <w:tc>
          <w:tcPr>
            <w:tcW w:w="1692" w:type="dxa"/>
            <w:gridSpan w:val="2"/>
            <w:tcBorders>
              <w:bottom w:val="single" w:sz="4" w:space="0" w:color="auto"/>
            </w:tcBorders>
          </w:tcPr>
          <w:p w14:paraId="0F655D44" w14:textId="35A25B8C" w:rsidR="00CB4A00" w:rsidRPr="00300D09" w:rsidRDefault="00CB4A00" w:rsidP="00C66961">
            <w:pPr>
              <w:jc w:val="both"/>
              <w:rPr>
                <w:rFonts w:cs="Arial"/>
                <w:sz w:val="18"/>
                <w:szCs w:val="18"/>
                <w:lang w:eastAsia="cs-CZ"/>
              </w:rPr>
            </w:pPr>
            <w:r w:rsidRPr="00300D09">
              <w:rPr>
                <w:rFonts w:cs="Arial"/>
                <w:sz w:val="18"/>
                <w:szCs w:val="18"/>
                <w:lang w:eastAsia="cs-CZ"/>
              </w:rPr>
              <w:t xml:space="preserve">EU fondy </w:t>
            </w:r>
            <w:r w:rsidR="009F5526">
              <w:rPr>
                <w:rFonts w:cs="Arial"/>
                <w:sz w:val="18"/>
                <w:szCs w:val="18"/>
                <w:lang w:eastAsia="cs-CZ"/>
              </w:rPr>
              <w:t>OPST</w:t>
            </w:r>
            <w:r w:rsidRPr="00300D09">
              <w:rPr>
                <w:rFonts w:cs="Arial"/>
                <w:sz w:val="18"/>
                <w:szCs w:val="18"/>
                <w:lang w:eastAsia="cs-CZ"/>
              </w:rPr>
              <w:t xml:space="preserve">, , (OP JAK – v závislosti na podmínkách a nastavení programu, OP TAK), </w:t>
            </w:r>
          </w:p>
          <w:p w14:paraId="3EB7C010" w14:textId="77777777" w:rsidR="00CB4A00" w:rsidRPr="00300D09" w:rsidRDefault="00CB4A00" w:rsidP="00C66961">
            <w:pPr>
              <w:jc w:val="both"/>
              <w:rPr>
                <w:rFonts w:cs="Arial"/>
                <w:sz w:val="18"/>
                <w:szCs w:val="18"/>
                <w:lang w:eastAsia="cs-CZ"/>
              </w:rPr>
            </w:pPr>
            <w:r w:rsidRPr="00300D09">
              <w:rPr>
                <w:rFonts w:cs="Arial"/>
                <w:sz w:val="18"/>
                <w:szCs w:val="18"/>
                <w:lang w:eastAsia="cs-CZ"/>
              </w:rPr>
              <w:t xml:space="preserve"> Národní dotační tituly,</w:t>
            </w:r>
          </w:p>
          <w:p w14:paraId="2A4FEECB" w14:textId="77777777" w:rsidR="00CB4A00" w:rsidRDefault="00CB4A00" w:rsidP="00C66961">
            <w:pPr>
              <w:jc w:val="both"/>
              <w:rPr>
                <w:rFonts w:cs="Arial"/>
                <w:sz w:val="18"/>
                <w:szCs w:val="18"/>
                <w:lang w:eastAsia="cs-CZ"/>
              </w:rPr>
            </w:pPr>
            <w:r w:rsidRPr="00300D09">
              <w:rPr>
                <w:rFonts w:cs="Arial"/>
                <w:sz w:val="18"/>
                <w:szCs w:val="18"/>
                <w:lang w:eastAsia="cs-CZ"/>
              </w:rPr>
              <w:t>III. pilíř MST</w:t>
            </w:r>
          </w:p>
        </w:tc>
        <w:tc>
          <w:tcPr>
            <w:tcW w:w="2748" w:type="dxa"/>
            <w:gridSpan w:val="2"/>
          </w:tcPr>
          <w:p w14:paraId="5788B870" w14:textId="77777777" w:rsidR="00CB4A00" w:rsidRDefault="00CB4A00" w:rsidP="00C66961">
            <w:pPr>
              <w:jc w:val="both"/>
              <w:rPr>
                <w:rFonts w:eastAsia="Arial" w:cs="Arial"/>
                <w:sz w:val="18"/>
                <w:szCs w:val="18"/>
              </w:rPr>
            </w:pPr>
            <w:r w:rsidRPr="005C6422">
              <w:rPr>
                <w:rFonts w:eastAsia="Arial" w:cs="Arial"/>
                <w:sz w:val="18"/>
                <w:szCs w:val="18"/>
              </w:rPr>
              <w:t xml:space="preserve">Strukturálně postižené regiony disponují nejnižší intenzitou podnikatelské aktivity a nízkou dynamikou vzniku nových podniků všeho druhu. To způsobuje menší počet vznikajících pracovních míst a odchod mladých vzdělaných lidí do vyspělejších krajů či zahraničí. Nabídka kvalitních prostor, technologického vybavení odpovídající potřebám současných inovativních firem, sdílené laboratoře a další business a marketingová podpora dostupná v areálu MSIC může významně přispět k zamezení odchodu talentovaných lidí, vzniku inovativních firem a produktů mezinárodního významu a také nových pracovních míst v regionu. </w:t>
            </w:r>
          </w:p>
          <w:p w14:paraId="33188099" w14:textId="77777777" w:rsidR="00CB4A00" w:rsidRDefault="00CB4A00" w:rsidP="00C66961">
            <w:pPr>
              <w:jc w:val="both"/>
              <w:rPr>
                <w:rFonts w:eastAsia="Arial" w:cs="Arial"/>
                <w:sz w:val="18"/>
                <w:szCs w:val="18"/>
              </w:rPr>
            </w:pPr>
          </w:p>
          <w:p w14:paraId="4E0A343D" w14:textId="77777777" w:rsidR="00CB4A00" w:rsidRDefault="00CB4A00" w:rsidP="00C66961">
            <w:pPr>
              <w:jc w:val="both"/>
              <w:rPr>
                <w:rFonts w:eastAsia="Arial" w:cs="Arial"/>
                <w:sz w:val="18"/>
                <w:szCs w:val="18"/>
              </w:rPr>
            </w:pPr>
          </w:p>
          <w:p w14:paraId="7882ED03" w14:textId="77777777" w:rsidR="00CB4A00" w:rsidRDefault="00CB4A00" w:rsidP="00C66961">
            <w:pPr>
              <w:jc w:val="both"/>
              <w:rPr>
                <w:rFonts w:cs="Arial"/>
                <w:sz w:val="18"/>
                <w:szCs w:val="18"/>
                <w:lang w:eastAsia="cs-CZ"/>
              </w:rPr>
            </w:pPr>
          </w:p>
        </w:tc>
        <w:tc>
          <w:tcPr>
            <w:tcW w:w="2163" w:type="dxa"/>
            <w:tcBorders>
              <w:bottom w:val="single" w:sz="4" w:space="0" w:color="auto"/>
            </w:tcBorders>
          </w:tcPr>
          <w:p w14:paraId="51CB78A9" w14:textId="77777777" w:rsidR="00CB4A00" w:rsidRDefault="00CB4A00" w:rsidP="00C66961">
            <w:pPr>
              <w:jc w:val="both"/>
              <w:rPr>
                <w:rFonts w:cs="Arial"/>
                <w:sz w:val="18"/>
                <w:szCs w:val="18"/>
                <w:lang w:eastAsia="cs-CZ"/>
              </w:rPr>
            </w:pPr>
            <w:r w:rsidRPr="00300D09">
              <w:rPr>
                <w:rFonts w:cs="Arial"/>
                <w:sz w:val="18"/>
                <w:szCs w:val="18"/>
                <w:lang w:eastAsia="cs-CZ"/>
              </w:rPr>
              <w:t>Vznik nových pracovních míst, nových inovativních firem a produktů nadregionálního či mezinárodního významu, zamezení odchodu pracovníků z kraje</w:t>
            </w:r>
          </w:p>
        </w:tc>
        <w:tc>
          <w:tcPr>
            <w:tcW w:w="2406" w:type="dxa"/>
            <w:tcBorders>
              <w:bottom w:val="single" w:sz="4" w:space="0" w:color="auto"/>
            </w:tcBorders>
          </w:tcPr>
          <w:p w14:paraId="05E0CCE1" w14:textId="77777777" w:rsidR="00CB4A00" w:rsidRDefault="00CB4A00" w:rsidP="00C66961">
            <w:pPr>
              <w:jc w:val="both"/>
              <w:rPr>
                <w:rFonts w:cs="Arial"/>
                <w:sz w:val="18"/>
                <w:szCs w:val="18"/>
                <w:lang w:eastAsia="cs-CZ"/>
              </w:rPr>
            </w:pPr>
            <w:r w:rsidRPr="00300D09">
              <w:rPr>
                <w:rFonts w:cs="Arial"/>
                <w:sz w:val="18"/>
                <w:szCs w:val="18"/>
                <w:lang w:eastAsia="cs-CZ"/>
              </w:rPr>
              <w:t>Cílové skupiny – podnikatelské subjekty, začínající podnikatelé, obyvatele regionů a příhraničních oblastí, mezinárodní přesah</w:t>
            </w:r>
          </w:p>
        </w:tc>
        <w:tc>
          <w:tcPr>
            <w:tcW w:w="1482" w:type="dxa"/>
            <w:tcBorders>
              <w:bottom w:val="single" w:sz="4" w:space="0" w:color="auto"/>
            </w:tcBorders>
            <w:vAlign w:val="center"/>
          </w:tcPr>
          <w:p w14:paraId="1C209348" w14:textId="77777777" w:rsidR="00CB4A00" w:rsidRDefault="00CB4A00" w:rsidP="00C66961">
            <w:pPr>
              <w:jc w:val="center"/>
              <w:rPr>
                <w:rFonts w:cs="Arial"/>
                <w:sz w:val="18"/>
                <w:szCs w:val="18"/>
                <w:lang w:eastAsia="cs-CZ"/>
              </w:rPr>
            </w:pPr>
            <w:r w:rsidRPr="005C6422">
              <w:rPr>
                <w:rFonts w:eastAsia="Arial" w:cs="Arial"/>
                <w:sz w:val="18"/>
                <w:szCs w:val="18"/>
              </w:rPr>
              <w:t>Vyjednávána podpora v rámci</w:t>
            </w:r>
            <w:r w:rsidRPr="005C6422">
              <w:rPr>
                <w:rFonts w:eastAsia="Arial" w:cs="Arial"/>
                <w:color w:val="000000" w:themeColor="text1"/>
                <w:sz w:val="18"/>
                <w:szCs w:val="18"/>
              </w:rPr>
              <w:t xml:space="preserve"> Úvěrového nástroje pro veřejný sektor – III. pilíř MST</w:t>
            </w:r>
          </w:p>
        </w:tc>
      </w:tr>
      <w:tr w:rsidR="00CB4A00" w14:paraId="65C64851" w14:textId="77777777" w:rsidTr="00C66961">
        <w:trPr>
          <w:jc w:val="center"/>
        </w:trPr>
        <w:tc>
          <w:tcPr>
            <w:tcW w:w="14039" w:type="dxa"/>
            <w:gridSpan w:val="9"/>
            <w:shd w:val="clear" w:color="auto" w:fill="D9E2F3" w:themeFill="accent5" w:themeFillTint="33"/>
          </w:tcPr>
          <w:p w14:paraId="3E83EA74" w14:textId="77777777" w:rsidR="00CB4A00" w:rsidRPr="00300D09" w:rsidRDefault="00CB4A00" w:rsidP="002E4092">
            <w:pPr>
              <w:pStyle w:val="Odstavecseseznamem"/>
              <w:numPr>
                <w:ilvl w:val="0"/>
                <w:numId w:val="9"/>
              </w:numPr>
              <w:jc w:val="center"/>
              <w:rPr>
                <w:rFonts w:cs="Arial"/>
                <w:b/>
                <w:bCs/>
                <w:sz w:val="18"/>
                <w:szCs w:val="18"/>
                <w:lang w:eastAsia="cs-CZ"/>
              </w:rPr>
            </w:pPr>
            <w:r w:rsidRPr="00300D09">
              <w:rPr>
                <w:rFonts w:cs="Arial"/>
                <w:b/>
                <w:bCs/>
                <w:sz w:val="18"/>
                <w:szCs w:val="18"/>
                <w:lang w:eastAsia="cs-CZ"/>
              </w:rPr>
              <w:t>Rozvoj HPC – národní superpočítačové centrum IT4Innovations</w:t>
            </w:r>
          </w:p>
        </w:tc>
      </w:tr>
      <w:tr w:rsidR="00CB4A00" w14:paraId="44E1F610" w14:textId="77777777" w:rsidTr="00C66961">
        <w:trPr>
          <w:jc w:val="center"/>
        </w:trPr>
        <w:tc>
          <w:tcPr>
            <w:tcW w:w="2547" w:type="dxa"/>
          </w:tcPr>
          <w:p w14:paraId="02D14603" w14:textId="77777777" w:rsidR="00CB4A00" w:rsidRPr="00300D09" w:rsidRDefault="00CB4A00" w:rsidP="00C66961">
            <w:pPr>
              <w:jc w:val="both"/>
              <w:rPr>
                <w:rFonts w:cs="Arial"/>
                <w:sz w:val="18"/>
                <w:szCs w:val="18"/>
                <w:lang w:eastAsia="cs-CZ"/>
              </w:rPr>
            </w:pPr>
            <w:r w:rsidRPr="00300D09">
              <w:rPr>
                <w:rFonts w:cs="Arial"/>
                <w:sz w:val="18"/>
                <w:szCs w:val="18"/>
                <w:lang w:eastAsia="cs-CZ"/>
              </w:rPr>
              <w:t>Cílem projektu</w:t>
            </w:r>
            <w:r>
              <w:rPr>
                <w:rFonts w:cs="Arial"/>
                <w:sz w:val="18"/>
                <w:szCs w:val="18"/>
                <w:lang w:eastAsia="cs-CZ"/>
              </w:rPr>
              <w:t xml:space="preserve"> –</w:t>
            </w:r>
            <w:r w:rsidRPr="00300D09">
              <w:rPr>
                <w:rFonts w:cs="Arial"/>
                <w:sz w:val="18"/>
                <w:szCs w:val="18"/>
                <w:lang w:eastAsia="cs-CZ"/>
              </w:rPr>
              <w:t xml:space="preserve"> výzkum v éře digitálních znalostí a Digitální inovační hub </w:t>
            </w:r>
            <w:r w:rsidRPr="00300D09">
              <w:rPr>
                <w:rFonts w:cs="Arial"/>
                <w:sz w:val="18"/>
                <w:szCs w:val="18"/>
                <w:lang w:eastAsia="cs-CZ"/>
              </w:rPr>
              <w:lastRenderedPageBreak/>
              <w:t xml:space="preserve">Ostrava je podpořit postupnou modernizaci výzkumné infrastruktury IT4Innovations tak, aby držela krok s ekonomicky rozvinutými zeměmi. Projekt bude mít dopad na mezinárodní kvalitu výzkumu v České republice a jeho výsledků, protože složité počítačové simulace a rozsáhlé datové analýzy s využitím superpočítačů jsou v současnosti pro výzkum klíčové a jejich význam vzhledem k teorii a experimentu se bude v příštích letech jenom zvyšovat. Jeho realizace zajistí přístup české výzkumné komunity k vysoce výkonným výpočetním kapacitám. Zároveň projekt </w:t>
            </w:r>
            <w:proofErr w:type="gramStart"/>
            <w:r w:rsidRPr="00300D09">
              <w:rPr>
                <w:rFonts w:cs="Arial"/>
                <w:sz w:val="18"/>
                <w:szCs w:val="18"/>
                <w:lang w:eastAsia="cs-CZ"/>
              </w:rPr>
              <w:t>podpoří</w:t>
            </w:r>
            <w:proofErr w:type="gramEnd"/>
            <w:r w:rsidRPr="00300D09">
              <w:rPr>
                <w:rFonts w:cs="Arial"/>
                <w:sz w:val="18"/>
                <w:szCs w:val="18"/>
                <w:lang w:eastAsia="cs-CZ"/>
              </w:rPr>
              <w:t xml:space="preserve"> výzkumné aktivity a rozvoj kompetencí v oblasti vysoce výkonných výpočtů a datových analýz včetně jejich propojení s klíčovými výzkumnými tématy v rámci ČR i Evropy. Tento projekt je integrální součástí projektů eINFRA CZ velké výzkumné e-infrastruktury.</w:t>
            </w:r>
          </w:p>
          <w:p w14:paraId="31779ADC" w14:textId="77777777" w:rsidR="00CB4A00" w:rsidRDefault="00CB4A00" w:rsidP="00C66961">
            <w:pPr>
              <w:jc w:val="both"/>
              <w:rPr>
                <w:rFonts w:cs="Arial"/>
                <w:sz w:val="18"/>
                <w:szCs w:val="18"/>
                <w:lang w:eastAsia="cs-CZ"/>
              </w:rPr>
            </w:pPr>
            <w:r w:rsidRPr="00300D09">
              <w:rPr>
                <w:rFonts w:cs="Arial"/>
                <w:sz w:val="18"/>
                <w:szCs w:val="18"/>
                <w:lang w:eastAsia="cs-CZ"/>
              </w:rPr>
              <w:t xml:space="preserve">Nedílnou součástí projektu bude zapojení aplikační sféry do společného výzkumu i samotný transfer know-how rozvíjeného na IT4Innovations do praxe. V </w:t>
            </w:r>
            <w:r w:rsidRPr="00300D09">
              <w:rPr>
                <w:rFonts w:cs="Arial"/>
                <w:sz w:val="18"/>
                <w:szCs w:val="18"/>
                <w:lang w:eastAsia="cs-CZ"/>
              </w:rPr>
              <w:lastRenderedPageBreak/>
              <w:t>tomto ohledu je postupně rozvíjen synergický projekt Digitální inovační hub Ostrava (DIH Ostrava), jehož cílem je podpora zavádění digitálních inovací ve firmách i ve společnosti. IT4Innovations národní superpočítačové centrum bude společně s MSIC vytvářet pro firmy a další organizace, zejména z Moravskoslezského kraje, vhodné podmínky pro přístup k digitálním technologiím, včetně superpočítačové infrastruktury, a pro využívání služeb spojených s digitalizací, včetně služeb kompetenčního centra IT4I (HPC, optimalizace kódů, virtual prototyping, digital twins ad.). Zároveň bude zajišťovat nadregionální spolupráci v rámci sítě digitálních inovačních hubů podporovaných ze strany Evropské komise.</w:t>
            </w:r>
          </w:p>
        </w:tc>
        <w:tc>
          <w:tcPr>
            <w:tcW w:w="1001" w:type="dxa"/>
          </w:tcPr>
          <w:p w14:paraId="547CC57C" w14:textId="77777777" w:rsidR="00CB4A00" w:rsidRDefault="00CB4A00" w:rsidP="00C66961">
            <w:pPr>
              <w:jc w:val="both"/>
              <w:rPr>
                <w:rFonts w:cs="Arial"/>
                <w:sz w:val="18"/>
                <w:szCs w:val="18"/>
                <w:lang w:eastAsia="cs-CZ"/>
              </w:rPr>
            </w:pPr>
            <w:r w:rsidRPr="00300D09">
              <w:rPr>
                <w:rFonts w:cs="Arial"/>
                <w:sz w:val="18"/>
                <w:szCs w:val="18"/>
                <w:lang w:eastAsia="cs-CZ"/>
              </w:rPr>
              <w:lastRenderedPageBreak/>
              <w:t xml:space="preserve">2 mld. Kč včetně </w:t>
            </w:r>
            <w:r w:rsidRPr="00300D09">
              <w:rPr>
                <w:rFonts w:cs="Arial"/>
                <w:sz w:val="18"/>
                <w:szCs w:val="18"/>
                <w:lang w:eastAsia="cs-CZ"/>
              </w:rPr>
              <w:lastRenderedPageBreak/>
              <w:t>DIH (do 2028)</w:t>
            </w:r>
          </w:p>
        </w:tc>
        <w:tc>
          <w:tcPr>
            <w:tcW w:w="1692" w:type="dxa"/>
            <w:gridSpan w:val="2"/>
          </w:tcPr>
          <w:p w14:paraId="51B1158A" w14:textId="309EDDB5" w:rsidR="00CB4A00" w:rsidRDefault="009F5526" w:rsidP="009F5526">
            <w:pPr>
              <w:jc w:val="both"/>
              <w:rPr>
                <w:rFonts w:cs="Arial"/>
                <w:sz w:val="18"/>
                <w:szCs w:val="18"/>
                <w:lang w:eastAsia="cs-CZ"/>
              </w:rPr>
            </w:pPr>
            <w:r>
              <w:rPr>
                <w:rFonts w:cs="Arial"/>
                <w:sz w:val="18"/>
                <w:szCs w:val="18"/>
                <w:lang w:eastAsia="cs-CZ"/>
              </w:rPr>
              <w:lastRenderedPageBreak/>
              <w:t xml:space="preserve">OPST, </w:t>
            </w:r>
            <w:r w:rsidR="00CB4A00" w:rsidRPr="00300D09">
              <w:rPr>
                <w:rFonts w:cs="Arial"/>
                <w:sz w:val="18"/>
                <w:szCs w:val="18"/>
                <w:lang w:eastAsia="cs-CZ"/>
              </w:rPr>
              <w:t xml:space="preserve">EU fondy (OP JAK – v závislosti na </w:t>
            </w:r>
            <w:r w:rsidR="00CB4A00" w:rsidRPr="00300D09">
              <w:rPr>
                <w:rFonts w:cs="Arial"/>
                <w:sz w:val="18"/>
                <w:szCs w:val="18"/>
                <w:lang w:eastAsia="cs-CZ"/>
              </w:rPr>
              <w:lastRenderedPageBreak/>
              <w:t>podmínkách a nastavení programu, OP TAK), DEP příp. národní/vlastní či jiné zdroje na spolufinancování, Digital Europe (Podpořen částečně z OP VVV a pro další rozvoj hledány vhodné zdroje viz výše)</w:t>
            </w:r>
          </w:p>
        </w:tc>
        <w:tc>
          <w:tcPr>
            <w:tcW w:w="2748" w:type="dxa"/>
            <w:gridSpan w:val="2"/>
          </w:tcPr>
          <w:p w14:paraId="119433C4" w14:textId="77777777" w:rsidR="00CB4A00" w:rsidRDefault="00CB4A00" w:rsidP="00C66961">
            <w:pPr>
              <w:jc w:val="both"/>
              <w:rPr>
                <w:rFonts w:cs="Arial"/>
                <w:sz w:val="18"/>
                <w:szCs w:val="18"/>
                <w:lang w:eastAsia="cs-CZ"/>
              </w:rPr>
            </w:pPr>
            <w:r w:rsidRPr="00300D09">
              <w:rPr>
                <w:rFonts w:cs="Arial"/>
                <w:sz w:val="18"/>
                <w:szCs w:val="18"/>
                <w:lang w:eastAsia="cs-CZ"/>
              </w:rPr>
              <w:lastRenderedPageBreak/>
              <w:t xml:space="preserve">Další rozvoj superpočítačového centra znamená zvyšování zájmu vysoce vzdělaných </w:t>
            </w:r>
            <w:r w:rsidRPr="00300D09">
              <w:rPr>
                <w:rFonts w:cs="Arial"/>
                <w:sz w:val="18"/>
                <w:szCs w:val="18"/>
                <w:lang w:eastAsia="cs-CZ"/>
              </w:rPr>
              <w:lastRenderedPageBreak/>
              <w:t>odborníků (v oblasti IT) pracovat v regionu. Stejně lze tento zájem vidět v případě studentů VŠ. Jedinečnost centra znamená rovněž zvýšený zájem odborníků žijících mimo MSK nějakým způsobem spolupracovat s IT4Innovations – zlepšování image kraje, zájem o návštěvu superpočítačového (SC) centra v Ostravě, případně jejich příchod za prací do MSK. SC centrum IT4Innovations jako faktor pozitivně ovlivňující rozhodování studentů o studium VŠ v Ostravě. Spolupráce SC centra s místními firmami povede ke zvyšování jejich konkurenceschopnosti, s firmami mimo region ke zvyšování zájmu o spolupráci se subjektem z MSK, z toho pramení potenciální synergické efekty typu zájem o investice v kraji (založení vývojového centra atd.). Řešení nabízená v SC centrum mohou vést i ke zlepšením v oblasti veřejné správy (lepší monitoring dopravy, ovzduší atd.).</w:t>
            </w:r>
          </w:p>
        </w:tc>
        <w:tc>
          <w:tcPr>
            <w:tcW w:w="2163" w:type="dxa"/>
          </w:tcPr>
          <w:p w14:paraId="7D929781" w14:textId="77777777" w:rsidR="00CB4A00" w:rsidRDefault="00CB4A00" w:rsidP="00C66961">
            <w:pPr>
              <w:jc w:val="both"/>
              <w:rPr>
                <w:rFonts w:cs="Arial"/>
                <w:sz w:val="18"/>
                <w:szCs w:val="18"/>
                <w:lang w:eastAsia="cs-CZ"/>
              </w:rPr>
            </w:pPr>
            <w:r w:rsidRPr="00300D09">
              <w:rPr>
                <w:rFonts w:cs="Arial"/>
                <w:sz w:val="18"/>
                <w:szCs w:val="18"/>
                <w:lang w:eastAsia="cs-CZ"/>
              </w:rPr>
              <w:lastRenderedPageBreak/>
              <w:t xml:space="preserve">Vznik nových pracovních míst, nových inovativních firem a </w:t>
            </w:r>
            <w:r w:rsidRPr="00300D09">
              <w:rPr>
                <w:rFonts w:cs="Arial"/>
                <w:sz w:val="18"/>
                <w:szCs w:val="18"/>
                <w:lang w:eastAsia="cs-CZ"/>
              </w:rPr>
              <w:lastRenderedPageBreak/>
              <w:t>produktů nadregionálního či mezinárodního významu, zamezení odchodu studentů a pracovníků z kraje</w:t>
            </w:r>
          </w:p>
        </w:tc>
        <w:tc>
          <w:tcPr>
            <w:tcW w:w="2406" w:type="dxa"/>
          </w:tcPr>
          <w:p w14:paraId="7BCB1DA1" w14:textId="77777777" w:rsidR="00CB4A00" w:rsidRDefault="00CB4A00" w:rsidP="00C66961">
            <w:pPr>
              <w:jc w:val="both"/>
              <w:rPr>
                <w:rFonts w:cs="Arial"/>
                <w:sz w:val="18"/>
                <w:szCs w:val="18"/>
                <w:lang w:eastAsia="cs-CZ"/>
              </w:rPr>
            </w:pPr>
            <w:r w:rsidRPr="00300D09">
              <w:rPr>
                <w:rFonts w:cs="Arial"/>
                <w:sz w:val="18"/>
                <w:szCs w:val="18"/>
                <w:lang w:eastAsia="cs-CZ"/>
              </w:rPr>
              <w:lastRenderedPageBreak/>
              <w:t xml:space="preserve">Cílové skupiny – výzkumní a akademičtí pracovníci, studenti, podnikatelské </w:t>
            </w:r>
            <w:r w:rsidRPr="00300D09">
              <w:rPr>
                <w:rFonts w:cs="Arial"/>
                <w:sz w:val="18"/>
                <w:szCs w:val="18"/>
                <w:lang w:eastAsia="cs-CZ"/>
              </w:rPr>
              <w:lastRenderedPageBreak/>
              <w:t>subjekty, orgány veřejné správy</w:t>
            </w:r>
          </w:p>
        </w:tc>
        <w:tc>
          <w:tcPr>
            <w:tcW w:w="1482" w:type="dxa"/>
            <w:vAlign w:val="center"/>
          </w:tcPr>
          <w:p w14:paraId="3A3CADBD" w14:textId="77777777" w:rsidR="00CB4A00" w:rsidRDefault="00CB4A00" w:rsidP="00C66961">
            <w:pPr>
              <w:jc w:val="center"/>
              <w:rPr>
                <w:rFonts w:cs="Arial"/>
                <w:sz w:val="18"/>
                <w:szCs w:val="18"/>
                <w:lang w:eastAsia="cs-CZ"/>
              </w:rPr>
            </w:pPr>
            <w:r w:rsidRPr="005C6422">
              <w:rPr>
                <w:rFonts w:eastAsia="Arial" w:cs="Arial"/>
                <w:sz w:val="18"/>
                <w:szCs w:val="18"/>
              </w:rPr>
              <w:lastRenderedPageBreak/>
              <w:t>X</w:t>
            </w:r>
          </w:p>
        </w:tc>
      </w:tr>
      <w:tr w:rsidR="00CB4A00" w14:paraId="273128E6" w14:textId="77777777" w:rsidTr="00C66961">
        <w:trPr>
          <w:jc w:val="center"/>
        </w:trPr>
        <w:tc>
          <w:tcPr>
            <w:tcW w:w="14039" w:type="dxa"/>
            <w:gridSpan w:val="9"/>
            <w:shd w:val="clear" w:color="auto" w:fill="D9E2F3" w:themeFill="accent5" w:themeFillTint="33"/>
          </w:tcPr>
          <w:p w14:paraId="2BA9ABD1" w14:textId="77777777" w:rsidR="00CB4A00" w:rsidRPr="00300D09" w:rsidRDefault="00CB4A00" w:rsidP="002E4092">
            <w:pPr>
              <w:pStyle w:val="Odstavecseseznamem"/>
              <w:numPr>
                <w:ilvl w:val="0"/>
                <w:numId w:val="9"/>
              </w:numPr>
              <w:jc w:val="center"/>
              <w:rPr>
                <w:rFonts w:cs="Arial"/>
                <w:b/>
                <w:bCs/>
                <w:sz w:val="18"/>
                <w:szCs w:val="18"/>
                <w:lang w:eastAsia="cs-CZ"/>
              </w:rPr>
            </w:pPr>
            <w:r w:rsidRPr="00300D09">
              <w:rPr>
                <w:rFonts w:cs="Arial"/>
                <w:b/>
                <w:bCs/>
                <w:sz w:val="18"/>
                <w:szCs w:val="18"/>
                <w:lang w:eastAsia="cs-CZ"/>
              </w:rPr>
              <w:lastRenderedPageBreak/>
              <w:t>Novostavba Moravskoslezské vědecké knihovny</w:t>
            </w:r>
          </w:p>
        </w:tc>
      </w:tr>
      <w:tr w:rsidR="00CB4A00" w14:paraId="613E6D12" w14:textId="77777777" w:rsidTr="00C66961">
        <w:trPr>
          <w:jc w:val="center"/>
        </w:trPr>
        <w:tc>
          <w:tcPr>
            <w:tcW w:w="2547" w:type="dxa"/>
          </w:tcPr>
          <w:p w14:paraId="23FACD55" w14:textId="77777777" w:rsidR="00CB4A00" w:rsidRDefault="00CB4A00" w:rsidP="00C66961">
            <w:pPr>
              <w:jc w:val="both"/>
              <w:rPr>
                <w:rFonts w:cs="Arial"/>
                <w:sz w:val="18"/>
                <w:szCs w:val="18"/>
                <w:lang w:eastAsia="cs-CZ"/>
              </w:rPr>
            </w:pPr>
            <w:r w:rsidRPr="00300D09">
              <w:rPr>
                <w:rFonts w:cs="Arial"/>
                <w:sz w:val="18"/>
                <w:szCs w:val="18"/>
                <w:lang w:eastAsia="cs-CZ"/>
              </w:rPr>
              <w:t xml:space="preserve">Stavba spočívá ve vybudování sídla a provozního zázemí Moravskoslezské vědecké knihovny v Ostravě tzv. "Černé kostky", příspěvkové organizace, která sídlí od roku 1951 v provizorních podmínkách v najatých prostorách Nové radnice v </w:t>
            </w:r>
            <w:r w:rsidRPr="00300D09">
              <w:rPr>
                <w:rFonts w:cs="Arial"/>
                <w:sz w:val="18"/>
                <w:szCs w:val="18"/>
                <w:lang w:eastAsia="cs-CZ"/>
              </w:rPr>
              <w:lastRenderedPageBreak/>
              <w:t>Ostravě. Navenek bude nová budova vypadat tak, jak ji před třinácti lety navrhnul ateliér Kuba &amp; Pilař. Interiér se změní. Projektová dokumentace bude přepracovaná</w:t>
            </w:r>
            <w:r>
              <w:rPr>
                <w:rFonts w:cs="Arial"/>
                <w:sz w:val="18"/>
                <w:szCs w:val="18"/>
                <w:lang w:eastAsia="cs-CZ"/>
              </w:rPr>
              <w:t xml:space="preserve">, </w:t>
            </w:r>
            <w:r w:rsidRPr="00300D09">
              <w:rPr>
                <w:rFonts w:cs="Arial"/>
                <w:sz w:val="18"/>
                <w:szCs w:val="18"/>
                <w:lang w:eastAsia="cs-CZ"/>
              </w:rPr>
              <w:t>aby odpovídala potřebám na tento typ vzdělávací instituce v digitálním věku. Knihovna se stane moderním informačním, komunikačním a technologickým střediskem.</w:t>
            </w:r>
          </w:p>
        </w:tc>
        <w:tc>
          <w:tcPr>
            <w:tcW w:w="1001" w:type="dxa"/>
          </w:tcPr>
          <w:p w14:paraId="67A3FE2F" w14:textId="77777777" w:rsidR="00CB4A00" w:rsidRDefault="00CB4A00" w:rsidP="00C66961">
            <w:pPr>
              <w:jc w:val="both"/>
              <w:rPr>
                <w:rFonts w:cs="Arial"/>
                <w:sz w:val="18"/>
                <w:szCs w:val="18"/>
                <w:lang w:eastAsia="cs-CZ"/>
              </w:rPr>
            </w:pPr>
            <w:r w:rsidRPr="00300D09">
              <w:rPr>
                <w:rFonts w:cs="Arial"/>
                <w:sz w:val="18"/>
                <w:szCs w:val="18"/>
                <w:lang w:eastAsia="cs-CZ"/>
              </w:rPr>
              <w:lastRenderedPageBreak/>
              <w:t>2,65 mld. Kč</w:t>
            </w:r>
          </w:p>
        </w:tc>
        <w:tc>
          <w:tcPr>
            <w:tcW w:w="1692" w:type="dxa"/>
            <w:gridSpan w:val="2"/>
          </w:tcPr>
          <w:p w14:paraId="195B35C8" w14:textId="77777777" w:rsidR="00CB4A00" w:rsidRDefault="00CB4A00" w:rsidP="00C66961">
            <w:pPr>
              <w:jc w:val="both"/>
              <w:rPr>
                <w:rFonts w:cs="Arial"/>
                <w:sz w:val="18"/>
                <w:szCs w:val="18"/>
                <w:lang w:eastAsia="cs-CZ"/>
              </w:rPr>
            </w:pPr>
            <w:r w:rsidRPr="00300D09">
              <w:rPr>
                <w:rFonts w:cs="Arial"/>
                <w:sz w:val="18"/>
                <w:szCs w:val="18"/>
                <w:lang w:eastAsia="cs-CZ"/>
              </w:rPr>
              <w:t>Dotační tituly MK, fondy EU (FST – OP ST, EU fondy 2021+) (digitalizace)</w:t>
            </w:r>
          </w:p>
        </w:tc>
        <w:tc>
          <w:tcPr>
            <w:tcW w:w="2748" w:type="dxa"/>
            <w:gridSpan w:val="2"/>
          </w:tcPr>
          <w:p w14:paraId="5B2AF1ED" w14:textId="77777777" w:rsidR="00CB4A00" w:rsidRDefault="00CB4A00" w:rsidP="00C66961">
            <w:pPr>
              <w:jc w:val="both"/>
              <w:rPr>
                <w:rFonts w:cs="Arial"/>
                <w:sz w:val="18"/>
                <w:szCs w:val="18"/>
                <w:lang w:eastAsia="cs-CZ"/>
              </w:rPr>
            </w:pPr>
            <w:r w:rsidRPr="00300D09">
              <w:rPr>
                <w:rFonts w:cs="Arial"/>
                <w:sz w:val="18"/>
                <w:szCs w:val="18"/>
                <w:lang w:eastAsia="cs-CZ"/>
              </w:rPr>
              <w:t xml:space="preserve">Výstavba tohoto charakteru může významně pomoci zkvalitnění image uhelných regionů, které bude mít dopad na generování vedlejších pozitivních synergických restrukturalizačních efektů a potenciálu pro další hospodářský a sociální rozvoj území. Příkladem je nárůst </w:t>
            </w:r>
            <w:r w:rsidRPr="00300D09">
              <w:rPr>
                <w:rFonts w:cs="Arial"/>
                <w:sz w:val="18"/>
                <w:szCs w:val="18"/>
                <w:lang w:eastAsia="cs-CZ"/>
              </w:rPr>
              <w:lastRenderedPageBreak/>
              <w:t>patriotismu u obyvatel, díky kterému jsou schopni lépe zvládat krátkodobé krize a problémové období a aktivně se zapojovat do aktivit na podporu rozvoje regionu</w:t>
            </w:r>
            <w:r>
              <w:rPr>
                <w:rFonts w:cs="Arial"/>
                <w:sz w:val="18"/>
                <w:szCs w:val="18"/>
                <w:lang w:eastAsia="cs-CZ"/>
              </w:rPr>
              <w:t xml:space="preserve">. </w:t>
            </w:r>
          </w:p>
        </w:tc>
        <w:tc>
          <w:tcPr>
            <w:tcW w:w="2163" w:type="dxa"/>
          </w:tcPr>
          <w:p w14:paraId="198FFAC0" w14:textId="77777777" w:rsidR="00CB4A00" w:rsidRDefault="00CB4A00" w:rsidP="00C66961">
            <w:pPr>
              <w:jc w:val="both"/>
              <w:rPr>
                <w:rFonts w:cs="Arial"/>
                <w:sz w:val="18"/>
                <w:szCs w:val="18"/>
                <w:lang w:eastAsia="cs-CZ"/>
              </w:rPr>
            </w:pPr>
            <w:r w:rsidRPr="005C6422">
              <w:rPr>
                <w:rFonts w:eastAsia="Arial" w:cs="Arial"/>
                <w:color w:val="000000" w:themeColor="text1"/>
                <w:sz w:val="18"/>
                <w:szCs w:val="18"/>
              </w:rPr>
              <w:lastRenderedPageBreak/>
              <w:t>Ekonomická aktivace a zkvalitnění života území ve strukturálně postižených regionech, zamezení odchodu obyvatel z území, změna image kraje (černý region)</w:t>
            </w:r>
          </w:p>
        </w:tc>
        <w:tc>
          <w:tcPr>
            <w:tcW w:w="2406" w:type="dxa"/>
          </w:tcPr>
          <w:p w14:paraId="43934F92" w14:textId="77777777" w:rsidR="00CB4A00" w:rsidRDefault="00CB4A00" w:rsidP="00C66961">
            <w:pPr>
              <w:jc w:val="both"/>
              <w:rPr>
                <w:rFonts w:cs="Arial"/>
                <w:sz w:val="18"/>
                <w:szCs w:val="18"/>
                <w:lang w:eastAsia="cs-CZ"/>
              </w:rPr>
            </w:pPr>
            <w:r w:rsidRPr="00300D09">
              <w:rPr>
                <w:rFonts w:cs="Arial"/>
                <w:sz w:val="18"/>
                <w:szCs w:val="18"/>
                <w:lang w:eastAsia="cs-CZ"/>
              </w:rPr>
              <w:t>Cílové skupiny – investoři, obyvatele regionu, vědecké instituce, studenti, začínající podnikatelé</w:t>
            </w:r>
          </w:p>
        </w:tc>
        <w:tc>
          <w:tcPr>
            <w:tcW w:w="1482" w:type="dxa"/>
            <w:vAlign w:val="center"/>
          </w:tcPr>
          <w:p w14:paraId="05607A3F" w14:textId="77777777" w:rsidR="00CB4A00" w:rsidRDefault="00CB4A00" w:rsidP="00C66961">
            <w:pPr>
              <w:jc w:val="center"/>
              <w:rPr>
                <w:rFonts w:cs="Arial"/>
                <w:sz w:val="18"/>
                <w:szCs w:val="18"/>
                <w:lang w:eastAsia="cs-CZ"/>
              </w:rPr>
            </w:pPr>
            <w:r w:rsidRPr="00300D09">
              <w:rPr>
                <w:rFonts w:cs="Arial"/>
                <w:sz w:val="18"/>
                <w:szCs w:val="18"/>
                <w:lang w:eastAsia="cs-CZ"/>
              </w:rPr>
              <w:t>Černá kostka – centrum digitalizace, vědy a inovací</w:t>
            </w:r>
          </w:p>
        </w:tc>
      </w:tr>
      <w:tr w:rsidR="00CB4A00" w14:paraId="0389DA75" w14:textId="77777777" w:rsidTr="00C66961">
        <w:trPr>
          <w:jc w:val="center"/>
        </w:trPr>
        <w:tc>
          <w:tcPr>
            <w:tcW w:w="14039" w:type="dxa"/>
            <w:gridSpan w:val="9"/>
            <w:shd w:val="clear" w:color="auto" w:fill="D9E2F3" w:themeFill="accent5" w:themeFillTint="33"/>
            <w:vAlign w:val="center"/>
          </w:tcPr>
          <w:p w14:paraId="32EB2F7F" w14:textId="77777777" w:rsidR="00CB4A00" w:rsidRPr="00162DE5" w:rsidRDefault="00CB4A00" w:rsidP="002E4092">
            <w:pPr>
              <w:pStyle w:val="Odstavecseseznamem"/>
              <w:numPr>
                <w:ilvl w:val="0"/>
                <w:numId w:val="9"/>
              </w:numPr>
              <w:jc w:val="center"/>
              <w:rPr>
                <w:rFonts w:cs="Arial"/>
                <w:b/>
                <w:bCs/>
                <w:sz w:val="18"/>
                <w:szCs w:val="18"/>
                <w:lang w:eastAsia="cs-CZ"/>
              </w:rPr>
            </w:pPr>
            <w:r w:rsidRPr="00162DE5">
              <w:rPr>
                <w:rFonts w:cs="Arial"/>
                <w:b/>
                <w:bCs/>
                <w:sz w:val="18"/>
                <w:szCs w:val="18"/>
                <w:lang w:eastAsia="cs-CZ"/>
              </w:rPr>
              <w:t>Centrum energetických a enviromentálních technologií</w:t>
            </w:r>
          </w:p>
        </w:tc>
      </w:tr>
      <w:tr w:rsidR="00CB4A00" w14:paraId="1601A110" w14:textId="77777777" w:rsidTr="00C66961">
        <w:trPr>
          <w:jc w:val="center"/>
        </w:trPr>
        <w:tc>
          <w:tcPr>
            <w:tcW w:w="2547" w:type="dxa"/>
          </w:tcPr>
          <w:p w14:paraId="5A8E5A46" w14:textId="77777777" w:rsidR="00CB4A00" w:rsidRPr="00162DE5" w:rsidRDefault="00CB4A00" w:rsidP="00C66961">
            <w:pPr>
              <w:jc w:val="both"/>
              <w:rPr>
                <w:rFonts w:cs="Arial"/>
                <w:sz w:val="18"/>
                <w:szCs w:val="18"/>
                <w:lang w:eastAsia="cs-CZ"/>
              </w:rPr>
            </w:pPr>
            <w:r w:rsidRPr="00162DE5">
              <w:rPr>
                <w:rFonts w:cs="Arial"/>
                <w:sz w:val="18"/>
                <w:szCs w:val="18"/>
                <w:lang w:eastAsia="cs-CZ"/>
              </w:rPr>
              <w:t xml:space="preserve">Hlavním cílem projektu „Centrum energetických a environmentálních technologií (CEET)“ je realizace multioborového vědeckého zázemí pro výzkum a vývoj metod a technologií pro zajištění spolehlivé, bezpečné a k životnímu prostředí šetrné dodávky energie s využitím stávajících centrálních energetických soustav v symbióze s decentralizovanými zdroji energie a zařízeními pro využití alternativních paliv, aplikací nejmodernějších vědeckých přístupů v oblasti nových materiálů pro energetiku, akumulace energie a metod řízení toku energie pro zajištění surovinové nezávislosti a </w:t>
            </w:r>
            <w:r w:rsidRPr="00162DE5">
              <w:rPr>
                <w:rFonts w:cs="Arial"/>
                <w:sz w:val="18"/>
                <w:szCs w:val="18"/>
                <w:lang w:eastAsia="cs-CZ"/>
              </w:rPr>
              <w:lastRenderedPageBreak/>
              <w:t>energetické soběstačnosti ČR.</w:t>
            </w:r>
          </w:p>
          <w:p w14:paraId="222A09DF" w14:textId="77777777" w:rsidR="00CB4A00" w:rsidRPr="00162DE5" w:rsidRDefault="00CB4A00" w:rsidP="00C66961">
            <w:pPr>
              <w:jc w:val="both"/>
              <w:rPr>
                <w:rFonts w:cs="Arial"/>
                <w:sz w:val="18"/>
                <w:szCs w:val="18"/>
                <w:lang w:eastAsia="cs-CZ"/>
              </w:rPr>
            </w:pPr>
            <w:r w:rsidRPr="00162DE5">
              <w:rPr>
                <w:rFonts w:cs="Arial"/>
                <w:sz w:val="18"/>
                <w:szCs w:val="18"/>
                <w:lang w:eastAsia="cs-CZ"/>
              </w:rPr>
              <w:t xml:space="preserve"> </w:t>
            </w:r>
          </w:p>
          <w:p w14:paraId="41C96CB4" w14:textId="77777777" w:rsidR="00CB4A00" w:rsidRDefault="00CB4A00" w:rsidP="00C66961">
            <w:pPr>
              <w:jc w:val="both"/>
              <w:rPr>
                <w:rFonts w:cs="Arial"/>
                <w:sz w:val="18"/>
                <w:szCs w:val="18"/>
                <w:lang w:eastAsia="cs-CZ"/>
              </w:rPr>
            </w:pPr>
            <w:r w:rsidRPr="00162DE5">
              <w:rPr>
                <w:rFonts w:cs="Arial"/>
                <w:sz w:val="18"/>
                <w:szCs w:val="18"/>
                <w:lang w:eastAsia="cs-CZ"/>
              </w:rPr>
              <w:t xml:space="preserve">  Specifické zaměření projektu CEET je tematicky vystavěno na půdorysu projektu Národního centra pro energetiku (NCE) řešeného v období 2019-2020 v rámci podpory TA ČR výzvy Národní centra kompetence, které disponuje unikátním konsorciem partnerů z výzkumných pracovišť a komerční sféry a s jehož pomocí jsou detekovány a ve spolupráci s komerční sférou řešeny aktuální problémy z oblasti moderní energetiky. Součástí projektu je vytvoření modulárního, mobilního a škálovatelného testbedu CEETe, který bude po ověření funkčnosti přesouván v rámci uhelných regionů a využíván pro výzkum možností likvidace skládek odpadů s přihlédnutím na specifika jednotlivých regionů s využitím výstupů ve formě energií a potřebných chemických produktů. CEETe je zaměřen na aplikovaný výzkum s rychlým transferem technologií do praxe.</w:t>
            </w:r>
          </w:p>
        </w:tc>
        <w:tc>
          <w:tcPr>
            <w:tcW w:w="1001" w:type="dxa"/>
          </w:tcPr>
          <w:p w14:paraId="675C142C" w14:textId="77777777" w:rsidR="00CB4A00" w:rsidRPr="00162DE5" w:rsidRDefault="00CB4A00" w:rsidP="00C66961">
            <w:pPr>
              <w:jc w:val="both"/>
              <w:rPr>
                <w:rFonts w:cs="Arial"/>
                <w:sz w:val="18"/>
                <w:szCs w:val="18"/>
                <w:lang w:eastAsia="cs-CZ"/>
              </w:rPr>
            </w:pPr>
            <w:r w:rsidRPr="00162DE5">
              <w:rPr>
                <w:rFonts w:cs="Arial"/>
                <w:sz w:val="18"/>
                <w:szCs w:val="18"/>
                <w:lang w:eastAsia="cs-CZ"/>
              </w:rPr>
              <w:lastRenderedPageBreak/>
              <w:t>2.7 mld. Kč</w:t>
            </w:r>
          </w:p>
          <w:p w14:paraId="527ED392" w14:textId="77777777" w:rsidR="00CB4A00" w:rsidRDefault="00CB4A00" w:rsidP="00C66961">
            <w:pPr>
              <w:jc w:val="both"/>
              <w:rPr>
                <w:rFonts w:cs="Arial"/>
                <w:sz w:val="18"/>
                <w:szCs w:val="18"/>
                <w:lang w:eastAsia="cs-CZ"/>
              </w:rPr>
            </w:pPr>
            <w:r w:rsidRPr="00162DE5">
              <w:rPr>
                <w:rFonts w:cs="Arial"/>
                <w:sz w:val="18"/>
                <w:szCs w:val="18"/>
                <w:lang w:eastAsia="cs-CZ"/>
              </w:rPr>
              <w:t>(do 2030)</w:t>
            </w:r>
          </w:p>
        </w:tc>
        <w:tc>
          <w:tcPr>
            <w:tcW w:w="1692" w:type="dxa"/>
            <w:gridSpan w:val="2"/>
          </w:tcPr>
          <w:p w14:paraId="66875DFB" w14:textId="73DB75DF" w:rsidR="00CB4A00" w:rsidRDefault="009F5526" w:rsidP="009F5526">
            <w:pPr>
              <w:jc w:val="both"/>
              <w:rPr>
                <w:rFonts w:cs="Arial"/>
                <w:sz w:val="18"/>
                <w:szCs w:val="18"/>
                <w:lang w:eastAsia="cs-CZ"/>
              </w:rPr>
            </w:pPr>
            <w:r>
              <w:rPr>
                <w:rFonts w:cs="Arial"/>
                <w:sz w:val="18"/>
                <w:szCs w:val="18"/>
                <w:lang w:eastAsia="cs-CZ"/>
              </w:rPr>
              <w:t xml:space="preserve">OPST, </w:t>
            </w:r>
            <w:r w:rsidR="00CB4A00" w:rsidRPr="00162DE5">
              <w:rPr>
                <w:rFonts w:cs="Arial"/>
                <w:sz w:val="18"/>
                <w:szCs w:val="18"/>
                <w:lang w:eastAsia="cs-CZ"/>
              </w:rPr>
              <w:t>Fondy E</w:t>
            </w:r>
            <w:r>
              <w:rPr>
                <w:rFonts w:cs="Arial"/>
                <w:sz w:val="18"/>
                <w:szCs w:val="18"/>
                <w:lang w:eastAsia="cs-CZ"/>
              </w:rPr>
              <w:t>U</w:t>
            </w:r>
            <w:r w:rsidR="00CB4A00" w:rsidRPr="00162DE5">
              <w:rPr>
                <w:rFonts w:cs="Arial"/>
                <w:sz w:val="18"/>
                <w:szCs w:val="18"/>
                <w:lang w:eastAsia="cs-CZ"/>
              </w:rPr>
              <w:t>), (OP JAK – v závislosti na podmínkách a nastavení programu, OP TAK v závislosti na podmínkách a nastavení programu), TA</w:t>
            </w:r>
            <w:r w:rsidR="0060056A">
              <w:rPr>
                <w:rFonts w:cs="Arial"/>
                <w:sz w:val="18"/>
                <w:szCs w:val="18"/>
                <w:lang w:eastAsia="cs-CZ"/>
              </w:rPr>
              <w:t xml:space="preserve"> </w:t>
            </w:r>
            <w:r w:rsidR="00CB4A00" w:rsidRPr="00162DE5">
              <w:rPr>
                <w:rFonts w:cs="Arial"/>
                <w:sz w:val="18"/>
                <w:szCs w:val="18"/>
                <w:lang w:eastAsia="cs-CZ"/>
              </w:rPr>
              <w:t xml:space="preserve">ČR </w:t>
            </w:r>
          </w:p>
        </w:tc>
        <w:tc>
          <w:tcPr>
            <w:tcW w:w="2748" w:type="dxa"/>
            <w:gridSpan w:val="2"/>
          </w:tcPr>
          <w:p w14:paraId="722D4D22" w14:textId="77777777" w:rsidR="00CB4A00" w:rsidRDefault="00CB4A00" w:rsidP="00C66961">
            <w:pPr>
              <w:jc w:val="both"/>
              <w:rPr>
                <w:rFonts w:cs="Arial"/>
                <w:sz w:val="18"/>
                <w:szCs w:val="18"/>
                <w:lang w:eastAsia="cs-CZ"/>
              </w:rPr>
            </w:pPr>
            <w:r w:rsidRPr="00162DE5">
              <w:rPr>
                <w:rFonts w:cs="Arial"/>
                <w:sz w:val="18"/>
                <w:szCs w:val="18"/>
                <w:lang w:eastAsia="cs-CZ"/>
              </w:rPr>
              <w:t xml:space="preserve">Vybudování a rozvoj centra znamená zvyšování zájmu vysoce vzdělaných odborníků (v oblasti energetiky a environm. technologií) pracovat v regionu. Stejně lze tento zájem vidět v případě studentů VŠ. Jedinečnost centra znamená rovněž zvýšený zájem odborníků žijících mimo MSK nějakým způsobem spolupracovat s CEET – zlepšování image kraje, zájem o návštěvu centra v Ostravě, případně jejich příchod za prací do MSK. CEET jako faktor pozitivně ovlivňující rozhodování studentů o studium VŠ v Ostravě. Spolupráce CEET s místními firmami povede ke zvyšování jejich konkurenceschopnosti, s firmami mimo region ke zvyšování zájmu o spolupráci </w:t>
            </w:r>
            <w:r w:rsidRPr="00162DE5">
              <w:rPr>
                <w:rFonts w:cs="Arial"/>
                <w:sz w:val="18"/>
                <w:szCs w:val="18"/>
                <w:lang w:eastAsia="cs-CZ"/>
              </w:rPr>
              <w:lastRenderedPageBreak/>
              <w:t>se subjektem z MSK, z toho pramení potenciální synergické efekty typu zájem o investice v kraji (založení vývojového centra atd.). Řešení nabízená v CEET mohou vést i ke zlepšením v oblasti veřejné správy (efektivnější řízení energetické spotřeby krajských budov atd.)</w:t>
            </w:r>
          </w:p>
        </w:tc>
        <w:tc>
          <w:tcPr>
            <w:tcW w:w="2163" w:type="dxa"/>
          </w:tcPr>
          <w:p w14:paraId="4EF50138" w14:textId="77777777" w:rsidR="00CB4A00" w:rsidRDefault="00CB4A00" w:rsidP="00C66961">
            <w:pPr>
              <w:jc w:val="both"/>
              <w:rPr>
                <w:rFonts w:cs="Arial"/>
                <w:sz w:val="18"/>
                <w:szCs w:val="18"/>
                <w:lang w:eastAsia="cs-CZ"/>
              </w:rPr>
            </w:pPr>
            <w:r w:rsidRPr="00162DE5">
              <w:rPr>
                <w:rFonts w:cs="Arial"/>
                <w:sz w:val="18"/>
                <w:szCs w:val="18"/>
                <w:lang w:eastAsia="cs-CZ"/>
              </w:rPr>
              <w:lastRenderedPageBreak/>
              <w:t>Vznik nových pracovních míst, nových inovativních firem a produktů nadregionálního či mezinárodního významu, zamezení odchodu studentů a pracovníků z kraje</w:t>
            </w:r>
          </w:p>
        </w:tc>
        <w:tc>
          <w:tcPr>
            <w:tcW w:w="2406" w:type="dxa"/>
          </w:tcPr>
          <w:p w14:paraId="283CA287" w14:textId="77777777" w:rsidR="00CB4A00" w:rsidRDefault="00CB4A00" w:rsidP="00C66961">
            <w:pPr>
              <w:jc w:val="both"/>
              <w:rPr>
                <w:rFonts w:cs="Arial"/>
                <w:sz w:val="18"/>
                <w:szCs w:val="18"/>
                <w:lang w:eastAsia="cs-CZ"/>
              </w:rPr>
            </w:pPr>
            <w:r w:rsidRPr="00162DE5">
              <w:rPr>
                <w:rFonts w:cs="Arial"/>
                <w:sz w:val="18"/>
                <w:szCs w:val="18"/>
                <w:lang w:eastAsia="cs-CZ"/>
              </w:rPr>
              <w:t>Cílové skupiny – výzkumní a akademičtí pracovníci, studenti, podnikatelské subjekty, orgány veřejné správy</w:t>
            </w:r>
          </w:p>
        </w:tc>
        <w:tc>
          <w:tcPr>
            <w:tcW w:w="1482" w:type="dxa"/>
            <w:vAlign w:val="center"/>
          </w:tcPr>
          <w:p w14:paraId="3933DF13" w14:textId="77777777" w:rsidR="00CB4A00" w:rsidRDefault="00CB4A00" w:rsidP="00C66961">
            <w:pPr>
              <w:jc w:val="center"/>
              <w:rPr>
                <w:rFonts w:cs="Arial"/>
                <w:sz w:val="18"/>
                <w:szCs w:val="18"/>
                <w:lang w:eastAsia="cs-CZ"/>
              </w:rPr>
            </w:pPr>
            <w:r w:rsidRPr="005C6422">
              <w:rPr>
                <w:rFonts w:eastAsia="Arial" w:cs="Arial"/>
                <w:sz w:val="18"/>
                <w:szCs w:val="18"/>
              </w:rPr>
              <w:t>Centrum energetických a enviromentálních technologií (CEET) bylo integrováno v rámci projektu OP ST REFRESH (VŠB-TUO) jako jedna z dílčích výzkumných laboratoří (Energy Lab), dále tematické výzvy v rámci síťového řešení vodíku</w:t>
            </w:r>
          </w:p>
        </w:tc>
      </w:tr>
      <w:tr w:rsidR="00CB4A00" w14:paraId="4B315B3B" w14:textId="77777777" w:rsidTr="00C66961">
        <w:trPr>
          <w:jc w:val="center"/>
        </w:trPr>
        <w:tc>
          <w:tcPr>
            <w:tcW w:w="14039" w:type="dxa"/>
            <w:gridSpan w:val="9"/>
            <w:shd w:val="clear" w:color="auto" w:fill="D9E2F3" w:themeFill="accent5" w:themeFillTint="33"/>
            <w:vAlign w:val="center"/>
          </w:tcPr>
          <w:p w14:paraId="578CAF63" w14:textId="77777777" w:rsidR="00CB4A00" w:rsidRPr="00162DE5" w:rsidRDefault="00CB4A00" w:rsidP="002E4092">
            <w:pPr>
              <w:pStyle w:val="Odstavecseseznamem"/>
              <w:numPr>
                <w:ilvl w:val="0"/>
                <w:numId w:val="9"/>
              </w:numPr>
              <w:jc w:val="center"/>
              <w:rPr>
                <w:rFonts w:cs="Arial"/>
                <w:b/>
                <w:bCs/>
                <w:sz w:val="18"/>
                <w:szCs w:val="18"/>
                <w:lang w:eastAsia="cs-CZ"/>
              </w:rPr>
            </w:pPr>
            <w:r w:rsidRPr="00162DE5">
              <w:rPr>
                <w:rFonts w:cs="Arial"/>
                <w:b/>
                <w:bCs/>
                <w:sz w:val="18"/>
                <w:szCs w:val="18"/>
                <w:lang w:eastAsia="cs-CZ"/>
              </w:rPr>
              <w:t>Zvýšení kvality středního školství</w:t>
            </w:r>
          </w:p>
        </w:tc>
      </w:tr>
      <w:tr w:rsidR="00CB4A00" w14:paraId="4DF49355" w14:textId="77777777" w:rsidTr="00C66961">
        <w:trPr>
          <w:jc w:val="center"/>
        </w:trPr>
        <w:tc>
          <w:tcPr>
            <w:tcW w:w="2547" w:type="dxa"/>
          </w:tcPr>
          <w:p w14:paraId="3F85C059" w14:textId="77777777" w:rsidR="00CB4A00" w:rsidRPr="00D16024" w:rsidRDefault="00CB4A00" w:rsidP="00C66961">
            <w:pPr>
              <w:jc w:val="both"/>
              <w:rPr>
                <w:rFonts w:cs="Arial"/>
                <w:sz w:val="18"/>
                <w:szCs w:val="18"/>
                <w:lang w:eastAsia="cs-CZ"/>
              </w:rPr>
            </w:pPr>
            <w:r w:rsidRPr="00D16024">
              <w:rPr>
                <w:rFonts w:cs="Arial"/>
                <w:sz w:val="18"/>
                <w:szCs w:val="18"/>
                <w:lang w:eastAsia="cs-CZ"/>
              </w:rPr>
              <w:lastRenderedPageBreak/>
              <w:t>Program ke zlepšení kvality školství v MS kraji se sadou dílčích strategických projektů k postupné realizaci.</w:t>
            </w:r>
          </w:p>
          <w:p w14:paraId="0930EEFA" w14:textId="4E968073" w:rsidR="00CB4A00" w:rsidRPr="00D16024" w:rsidRDefault="00CB4A00" w:rsidP="00C66961">
            <w:pPr>
              <w:jc w:val="both"/>
              <w:rPr>
                <w:rFonts w:cs="Arial"/>
                <w:sz w:val="18"/>
                <w:szCs w:val="18"/>
                <w:lang w:eastAsia="cs-CZ"/>
              </w:rPr>
            </w:pPr>
            <w:r w:rsidRPr="00D16024">
              <w:rPr>
                <w:rFonts w:cs="Arial"/>
                <w:sz w:val="18"/>
                <w:szCs w:val="18"/>
                <w:lang w:eastAsia="cs-CZ"/>
              </w:rPr>
              <w:t>1) Projekt TPA –</w:t>
            </w:r>
            <w:r w:rsidR="002C7FD2" w:rsidRPr="00A7397B">
              <w:rPr>
                <w:rFonts w:cs="Arial"/>
                <w:sz w:val="18"/>
                <w:szCs w:val="18"/>
              </w:rPr>
              <w:t>Technologická a podnikatelská akademie se zaměřuje na vytvoření instituce zaměřené na vývoj a šíření eduboxů k rozvoji odborných i obecných kompetencí, které odpovídají nejnovějšímu vývoji v průmyslovém a podnikatelském sektoru. Vývoj těchto eduboxů je realizován v týmech zahrnujících špičkové pedagogy ze škol, ze soukromých vzdělávacích organizací, odborníky z průmyslových firem, start upů, z Moravskoslezského inovačního centra a z MS Paktu zaměstnanosti. Vyvinuté eduboxy jsou nejdříve pilotně testovány s pedagogy SŠ v MS kraji a následně jsou šířeny do středních škol v kraji prostřednictvím řízeného programu stáží jak pro pedagogy, tak i pro žáky SŠ. Projekt je inspirován evropským příkladem dobré praxe z Baskicka – viz TKNIKA – s nímž je rovněž navázána spolupráce</w:t>
            </w:r>
            <w:r w:rsidRPr="00D16024">
              <w:rPr>
                <w:rFonts w:cs="Arial"/>
                <w:sz w:val="18"/>
                <w:szCs w:val="18"/>
                <w:lang w:eastAsia="cs-CZ"/>
              </w:rPr>
              <w:t xml:space="preserve">.  </w:t>
            </w:r>
          </w:p>
          <w:p w14:paraId="354C9BBA" w14:textId="77777777" w:rsidR="00CB4A00" w:rsidRDefault="00CB4A00" w:rsidP="00C66961">
            <w:pPr>
              <w:jc w:val="both"/>
              <w:rPr>
                <w:rFonts w:cs="Arial"/>
                <w:sz w:val="18"/>
                <w:szCs w:val="18"/>
                <w:lang w:eastAsia="cs-CZ"/>
              </w:rPr>
            </w:pPr>
            <w:r w:rsidRPr="00D16024">
              <w:rPr>
                <w:rFonts w:cs="Arial"/>
                <w:sz w:val="18"/>
                <w:szCs w:val="18"/>
                <w:lang w:eastAsia="cs-CZ"/>
              </w:rPr>
              <w:lastRenderedPageBreak/>
              <w:t>2) Projekt Modernizace školního statku v Opavě (150 mil. Kč) - Školní statek v Opavě je samostatnou příspěvkovou organizací kraje, jejímž posláním je vytvářet podmínky pro praktické vyučování žáků středních zemědělských a zahradnických škol. Zásadním problémem je potřeba výrazné modernizace statku, a to v oblasti živočišné i rostlinné výbory. Statek byl po desetiletí nejmodernější vzdělávací institucí svého oboru v ČR a jako jeden ze tří statků v ČR má potenciál se na toto místo znovu vrátit. Zároveň by se touto modernizací statek stal centrem zemědělského školství nejen v našem kraji, ale také lídrem v ukázce nových technologií využitelných v oblasti počátečního i dalšího vzdělávání v zemědělství. Projekt je již zahájen z krajských zdrojů. Pro poslední finančně nejnáročnější etapu je třeba vyčkat na evropské zdroje.</w:t>
            </w:r>
          </w:p>
        </w:tc>
        <w:tc>
          <w:tcPr>
            <w:tcW w:w="1001" w:type="dxa"/>
          </w:tcPr>
          <w:p w14:paraId="56FEFD2B" w14:textId="77777777" w:rsidR="00CB4A00" w:rsidRDefault="00CB4A00" w:rsidP="00C66961">
            <w:pPr>
              <w:jc w:val="both"/>
              <w:rPr>
                <w:rFonts w:cs="Arial"/>
                <w:sz w:val="18"/>
                <w:szCs w:val="18"/>
                <w:lang w:eastAsia="cs-CZ"/>
              </w:rPr>
            </w:pPr>
            <w:r w:rsidRPr="005C6422">
              <w:rPr>
                <w:rFonts w:eastAsia="Arial" w:cs="Arial"/>
                <w:sz w:val="18"/>
                <w:szCs w:val="18"/>
              </w:rPr>
              <w:lastRenderedPageBreak/>
              <w:t>1. mld. Kč</w:t>
            </w:r>
          </w:p>
        </w:tc>
        <w:tc>
          <w:tcPr>
            <w:tcW w:w="1692" w:type="dxa"/>
            <w:gridSpan w:val="2"/>
          </w:tcPr>
          <w:p w14:paraId="0F434938" w14:textId="3DDA7490" w:rsidR="00CB4A00" w:rsidRDefault="009F5526" w:rsidP="009F5526">
            <w:pPr>
              <w:jc w:val="both"/>
              <w:rPr>
                <w:rFonts w:cs="Arial"/>
                <w:sz w:val="18"/>
                <w:szCs w:val="18"/>
                <w:lang w:eastAsia="cs-CZ"/>
              </w:rPr>
            </w:pPr>
            <w:r>
              <w:rPr>
                <w:rFonts w:cs="Arial"/>
                <w:sz w:val="18"/>
                <w:szCs w:val="18"/>
                <w:lang w:eastAsia="cs-CZ"/>
              </w:rPr>
              <w:t xml:space="preserve">OPST, </w:t>
            </w:r>
            <w:proofErr w:type="gramStart"/>
            <w:r>
              <w:rPr>
                <w:rFonts w:cs="Arial"/>
                <w:sz w:val="18"/>
                <w:szCs w:val="18"/>
                <w:lang w:eastAsia="cs-CZ"/>
              </w:rPr>
              <w:t xml:space="preserve">IROP - </w:t>
            </w:r>
            <w:r w:rsidR="00CB4A00" w:rsidRPr="00D16024">
              <w:rPr>
                <w:rFonts w:cs="Arial"/>
                <w:sz w:val="18"/>
                <w:szCs w:val="18"/>
                <w:lang w:eastAsia="cs-CZ"/>
              </w:rPr>
              <w:t>EU</w:t>
            </w:r>
            <w:proofErr w:type="gramEnd"/>
            <w:r w:rsidR="00CB4A00" w:rsidRPr="00D16024">
              <w:rPr>
                <w:rFonts w:cs="Arial"/>
                <w:sz w:val="18"/>
                <w:szCs w:val="18"/>
                <w:lang w:eastAsia="cs-CZ"/>
              </w:rPr>
              <w:t xml:space="preserve"> fondy 2021+, (OP JAK – v závislosti na podmínkách a nastavení programu,), TA</w:t>
            </w:r>
            <w:r w:rsidR="0060056A">
              <w:rPr>
                <w:rFonts w:cs="Arial"/>
                <w:sz w:val="18"/>
                <w:szCs w:val="18"/>
                <w:lang w:eastAsia="cs-CZ"/>
              </w:rPr>
              <w:t xml:space="preserve"> </w:t>
            </w:r>
            <w:r w:rsidR="00CB4A00" w:rsidRPr="00D16024">
              <w:rPr>
                <w:rFonts w:cs="Arial"/>
                <w:sz w:val="18"/>
                <w:szCs w:val="18"/>
                <w:lang w:eastAsia="cs-CZ"/>
              </w:rPr>
              <w:t>ČR</w:t>
            </w:r>
          </w:p>
        </w:tc>
        <w:tc>
          <w:tcPr>
            <w:tcW w:w="2748" w:type="dxa"/>
            <w:gridSpan w:val="2"/>
          </w:tcPr>
          <w:p w14:paraId="235CA0B8" w14:textId="77777777" w:rsidR="00CB4A00" w:rsidRDefault="00CB4A00" w:rsidP="00C66961">
            <w:pPr>
              <w:jc w:val="both"/>
              <w:rPr>
                <w:rFonts w:cs="Arial"/>
                <w:sz w:val="18"/>
                <w:szCs w:val="18"/>
                <w:lang w:eastAsia="cs-CZ"/>
              </w:rPr>
            </w:pPr>
            <w:r w:rsidRPr="00D16024">
              <w:rPr>
                <w:rFonts w:cs="Arial"/>
                <w:sz w:val="18"/>
                <w:szCs w:val="18"/>
                <w:lang w:eastAsia="cs-CZ"/>
              </w:rPr>
              <w:t>Základem ekonomického rozvoje transformujících se krajů je dostatek připravených lidí pro profese poptávané v současném i budoucím trhu práce. Na základě analýz roste poptávka zejména po technicky kompetentních pracovnících. MSK jako kraj s průmyslovou minulostí má příležitost připravit technicky zdatné pracovníky ve větším počtu a lepší kvalitě. Kompetentní pracovníci mají tendenci zvýšit výkonnost, produktivitu a konkurenceschopnost podniků v kraji.</w:t>
            </w:r>
          </w:p>
        </w:tc>
        <w:tc>
          <w:tcPr>
            <w:tcW w:w="2163" w:type="dxa"/>
          </w:tcPr>
          <w:p w14:paraId="338E6F3D" w14:textId="77777777" w:rsidR="00CB4A00" w:rsidRDefault="00CB4A00" w:rsidP="00C66961">
            <w:pPr>
              <w:jc w:val="both"/>
              <w:rPr>
                <w:rFonts w:cs="Arial"/>
                <w:sz w:val="18"/>
                <w:szCs w:val="18"/>
                <w:lang w:eastAsia="cs-CZ"/>
              </w:rPr>
            </w:pPr>
            <w:r w:rsidRPr="00D16024">
              <w:rPr>
                <w:rFonts w:cs="Arial"/>
                <w:sz w:val="18"/>
                <w:szCs w:val="18"/>
                <w:lang w:eastAsia="cs-CZ"/>
              </w:rPr>
              <w:t>Zvýšení počtu kompetentních zaměstnanců v technických oborech a měkkých dovednostech, snížení nezaměstnanosti, snížení počtu nezaměstnaných lidí</w:t>
            </w:r>
          </w:p>
        </w:tc>
        <w:tc>
          <w:tcPr>
            <w:tcW w:w="2406" w:type="dxa"/>
          </w:tcPr>
          <w:p w14:paraId="7A4E3A11" w14:textId="00B67C47" w:rsidR="002C7FD2" w:rsidRDefault="002C7FD2" w:rsidP="000408C9">
            <w:pPr>
              <w:jc w:val="both"/>
              <w:rPr>
                <w:rFonts w:cs="Arial"/>
                <w:sz w:val="18"/>
                <w:szCs w:val="18"/>
                <w:lang w:eastAsia="cs-CZ"/>
              </w:rPr>
            </w:pPr>
            <w:r w:rsidRPr="002C7FD2">
              <w:rPr>
                <w:rFonts w:cs="Arial"/>
                <w:sz w:val="18"/>
                <w:szCs w:val="18"/>
                <w:lang w:eastAsia="cs-CZ"/>
              </w:rPr>
              <w:t>Cílové skupiny – pedagogové, žáci základních a středních škol, studenti VOŠ, začínající podnikatelé, zaměstnavatelé</w:t>
            </w:r>
          </w:p>
        </w:tc>
        <w:tc>
          <w:tcPr>
            <w:tcW w:w="1482" w:type="dxa"/>
            <w:vAlign w:val="center"/>
          </w:tcPr>
          <w:p w14:paraId="2616A63F" w14:textId="77777777" w:rsidR="00CB4A00" w:rsidRDefault="00CB4A00" w:rsidP="00C66961">
            <w:pPr>
              <w:jc w:val="center"/>
              <w:rPr>
                <w:rFonts w:cs="Arial"/>
                <w:sz w:val="18"/>
                <w:szCs w:val="18"/>
                <w:lang w:eastAsia="cs-CZ"/>
              </w:rPr>
            </w:pPr>
            <w:r w:rsidRPr="00D16024">
              <w:rPr>
                <w:rFonts w:cs="Arial"/>
                <w:sz w:val="18"/>
                <w:szCs w:val="18"/>
                <w:lang w:eastAsia="cs-CZ"/>
              </w:rPr>
              <w:t>Technologická a podnikatelská akademie (TPA) - Inovační centrum pro transformaci vzdělávání</w:t>
            </w:r>
          </w:p>
        </w:tc>
      </w:tr>
      <w:tr w:rsidR="00CB4A00" w14:paraId="309A00C9" w14:textId="77777777" w:rsidTr="00C66961">
        <w:trPr>
          <w:jc w:val="center"/>
        </w:trPr>
        <w:tc>
          <w:tcPr>
            <w:tcW w:w="14039" w:type="dxa"/>
            <w:gridSpan w:val="9"/>
            <w:shd w:val="clear" w:color="auto" w:fill="D9E2F3" w:themeFill="accent5" w:themeFillTint="33"/>
            <w:vAlign w:val="center"/>
          </w:tcPr>
          <w:p w14:paraId="3AC4F28E" w14:textId="77777777" w:rsidR="00CB4A00" w:rsidRPr="00D16024" w:rsidRDefault="00CB4A00" w:rsidP="002E4092">
            <w:pPr>
              <w:pStyle w:val="Odstavecseseznamem"/>
              <w:numPr>
                <w:ilvl w:val="0"/>
                <w:numId w:val="9"/>
              </w:numPr>
              <w:jc w:val="center"/>
              <w:rPr>
                <w:rFonts w:cs="Arial"/>
                <w:b/>
                <w:bCs/>
                <w:sz w:val="18"/>
                <w:szCs w:val="18"/>
                <w:lang w:eastAsia="cs-CZ"/>
              </w:rPr>
            </w:pPr>
            <w:r w:rsidRPr="00D16024">
              <w:rPr>
                <w:rFonts w:cs="Arial"/>
                <w:b/>
                <w:bCs/>
                <w:sz w:val="18"/>
                <w:szCs w:val="18"/>
                <w:lang w:eastAsia="cs-CZ"/>
              </w:rPr>
              <w:t>Transformace pohornické krajiny Karvinska, Frýdecka a Frenštátska – POHO2030</w:t>
            </w:r>
          </w:p>
        </w:tc>
      </w:tr>
      <w:tr w:rsidR="00CB4A00" w14:paraId="79E712AB" w14:textId="77777777" w:rsidTr="00C66961">
        <w:trPr>
          <w:jc w:val="center"/>
        </w:trPr>
        <w:tc>
          <w:tcPr>
            <w:tcW w:w="2547" w:type="dxa"/>
          </w:tcPr>
          <w:p w14:paraId="1F1CF8A3" w14:textId="3EFC680C" w:rsidR="00CB4A00" w:rsidRDefault="00CB4A00" w:rsidP="00C66961">
            <w:pPr>
              <w:jc w:val="both"/>
              <w:rPr>
                <w:rFonts w:cs="Arial"/>
                <w:sz w:val="18"/>
                <w:szCs w:val="18"/>
                <w:lang w:eastAsia="cs-CZ"/>
              </w:rPr>
            </w:pPr>
            <w:r w:rsidRPr="00D16024">
              <w:rPr>
                <w:rFonts w:cs="Arial"/>
                <w:sz w:val="18"/>
                <w:szCs w:val="18"/>
                <w:lang w:eastAsia="cs-CZ"/>
              </w:rPr>
              <w:t xml:space="preserve">Program za účelem integrovaného rozvoje oblasti mezi Karvinou, Havířovem a Orlovou. Deprivované území </w:t>
            </w:r>
            <w:r w:rsidRPr="00D16024">
              <w:rPr>
                <w:rFonts w:cs="Arial"/>
                <w:sz w:val="18"/>
                <w:szCs w:val="18"/>
                <w:lang w:eastAsia="cs-CZ"/>
              </w:rPr>
              <w:lastRenderedPageBreak/>
              <w:t xml:space="preserve">o rozloze cca 60 km2, které je definováno výhradně antropogenní činností, zejména průmyslovou. Integrovaný rozvoj této lokality bude směřovat k cílům EU 2050, bude řešen v souladu s transformačními principy, které se nyní uplatňují napříč EU, a to zejména ve smyslu přechodu společnosti k bez-uhlíkovému hospodářství, dopravě, energetice a také směrem k nabytí kompetencí pro AI, tedy aplikace inovací z různých odvětví. Program je plánován na 10 let a měl ve 3 etapách nastartovat socio-ekonomicko-inovační transformaci a boom lokality, při zachování unikátních krajinných aspektů, přirozeně vznikajících na důsledcích průmyslové činnosti a těžby uhlí. Zároveň je cílem resocializace krajiny poznamenané aktivní těžbou černého uhlí na dole Útlum – Jih (bývalý Důl Paskov) a nezprovozněným dolem Frenštát, který byl po dlouhá desetiletí udržován v tzv. konzervačním režimu. Obě tyto lokality se vyrovnávají s negativními aspekty těžebního průmyslu a s novými požadavky vyplývajícími z procesu </w:t>
            </w:r>
            <w:r w:rsidRPr="00D16024">
              <w:rPr>
                <w:rFonts w:cs="Arial"/>
                <w:sz w:val="18"/>
                <w:szCs w:val="18"/>
                <w:lang w:eastAsia="cs-CZ"/>
              </w:rPr>
              <w:lastRenderedPageBreak/>
              <w:t>transformace regionu. Pro vyjmenované oblasti jsou zpracovávány strategické koncepce jejich obnovy po těžbě.</w:t>
            </w:r>
          </w:p>
          <w:p w14:paraId="74306534" w14:textId="7FA77BB7" w:rsidR="008E7926" w:rsidRDefault="008E7926" w:rsidP="00C66961">
            <w:pPr>
              <w:jc w:val="both"/>
              <w:rPr>
                <w:rFonts w:cs="Arial"/>
                <w:sz w:val="18"/>
                <w:szCs w:val="18"/>
                <w:lang w:eastAsia="cs-CZ"/>
              </w:rPr>
            </w:pPr>
          </w:p>
          <w:p w14:paraId="57421730" w14:textId="77777777" w:rsidR="008E7926" w:rsidRDefault="008E7926" w:rsidP="00C66961">
            <w:pPr>
              <w:jc w:val="both"/>
              <w:rPr>
                <w:rFonts w:cs="Arial"/>
                <w:sz w:val="18"/>
                <w:szCs w:val="18"/>
                <w:lang w:eastAsia="cs-CZ"/>
              </w:rPr>
            </w:pPr>
          </w:p>
          <w:p w14:paraId="357B41FC" w14:textId="77777777" w:rsidR="00CB4A00" w:rsidRDefault="00CB4A00" w:rsidP="00C66961">
            <w:pPr>
              <w:jc w:val="both"/>
              <w:rPr>
                <w:rFonts w:cs="Arial"/>
                <w:sz w:val="18"/>
                <w:szCs w:val="18"/>
                <w:lang w:eastAsia="cs-CZ"/>
              </w:rPr>
            </w:pPr>
          </w:p>
        </w:tc>
        <w:tc>
          <w:tcPr>
            <w:tcW w:w="1001" w:type="dxa"/>
          </w:tcPr>
          <w:p w14:paraId="549F1FEF" w14:textId="77777777" w:rsidR="00CB4A00" w:rsidRPr="00D16024" w:rsidRDefault="00CB4A00" w:rsidP="00C66961">
            <w:pPr>
              <w:jc w:val="both"/>
              <w:rPr>
                <w:rFonts w:cs="Arial"/>
                <w:sz w:val="18"/>
                <w:szCs w:val="18"/>
                <w:lang w:eastAsia="cs-CZ"/>
              </w:rPr>
            </w:pPr>
            <w:r w:rsidRPr="00D16024">
              <w:rPr>
                <w:rFonts w:cs="Arial"/>
                <w:sz w:val="18"/>
                <w:szCs w:val="18"/>
                <w:lang w:eastAsia="cs-CZ"/>
              </w:rPr>
              <w:lastRenderedPageBreak/>
              <w:t>1 mld. Kč</w:t>
            </w:r>
          </w:p>
          <w:p w14:paraId="77990749" w14:textId="77777777" w:rsidR="00CB4A00" w:rsidRDefault="00CB4A00" w:rsidP="00C66961">
            <w:pPr>
              <w:jc w:val="both"/>
              <w:rPr>
                <w:rFonts w:cs="Arial"/>
                <w:sz w:val="18"/>
                <w:szCs w:val="18"/>
                <w:lang w:eastAsia="cs-CZ"/>
              </w:rPr>
            </w:pPr>
            <w:r w:rsidRPr="00D16024">
              <w:rPr>
                <w:rFonts w:cs="Arial"/>
                <w:sz w:val="18"/>
                <w:szCs w:val="18"/>
                <w:lang w:eastAsia="cs-CZ"/>
              </w:rPr>
              <w:t xml:space="preserve">  (do 2030)</w:t>
            </w:r>
          </w:p>
        </w:tc>
        <w:tc>
          <w:tcPr>
            <w:tcW w:w="1692" w:type="dxa"/>
            <w:gridSpan w:val="2"/>
          </w:tcPr>
          <w:p w14:paraId="44B97833" w14:textId="5ACE7F74" w:rsidR="00CB4A00" w:rsidRDefault="009F5526" w:rsidP="009F5526">
            <w:pPr>
              <w:jc w:val="both"/>
              <w:rPr>
                <w:rFonts w:cs="Arial"/>
                <w:sz w:val="18"/>
                <w:szCs w:val="18"/>
                <w:lang w:eastAsia="cs-CZ"/>
              </w:rPr>
            </w:pPr>
            <w:r>
              <w:rPr>
                <w:rFonts w:cs="Arial"/>
                <w:sz w:val="18"/>
                <w:szCs w:val="18"/>
                <w:lang w:eastAsia="cs-CZ"/>
              </w:rPr>
              <w:t xml:space="preserve">OPST, </w:t>
            </w:r>
            <w:r w:rsidR="00CB4A00" w:rsidRPr="00D16024">
              <w:rPr>
                <w:rFonts w:cs="Arial"/>
                <w:sz w:val="18"/>
                <w:szCs w:val="18"/>
                <w:lang w:eastAsia="cs-CZ"/>
              </w:rPr>
              <w:t xml:space="preserve">Fondy EU ((IROP, OP TAK, OP </w:t>
            </w:r>
            <w:r w:rsidR="008E7926" w:rsidRPr="00D16024">
              <w:rPr>
                <w:rFonts w:cs="Arial"/>
                <w:sz w:val="18"/>
                <w:szCs w:val="18"/>
                <w:lang w:eastAsia="cs-CZ"/>
              </w:rPr>
              <w:t>JAK – v</w:t>
            </w:r>
            <w:r w:rsidR="00CB4A00" w:rsidRPr="00D16024">
              <w:rPr>
                <w:rFonts w:cs="Arial"/>
                <w:sz w:val="18"/>
                <w:szCs w:val="18"/>
                <w:lang w:eastAsia="cs-CZ"/>
              </w:rPr>
              <w:t xml:space="preserve"> závislosti na </w:t>
            </w:r>
            <w:r w:rsidR="00CB4A00" w:rsidRPr="00D16024">
              <w:rPr>
                <w:rFonts w:cs="Arial"/>
                <w:sz w:val="18"/>
                <w:szCs w:val="18"/>
                <w:lang w:eastAsia="cs-CZ"/>
              </w:rPr>
              <w:lastRenderedPageBreak/>
              <w:t>podmínkách a nastavení programu, ),</w:t>
            </w:r>
          </w:p>
        </w:tc>
        <w:tc>
          <w:tcPr>
            <w:tcW w:w="2748" w:type="dxa"/>
            <w:gridSpan w:val="2"/>
          </w:tcPr>
          <w:p w14:paraId="1A451FF6" w14:textId="77777777" w:rsidR="00CB4A00" w:rsidRDefault="00CB4A00" w:rsidP="00C66961">
            <w:pPr>
              <w:jc w:val="both"/>
              <w:rPr>
                <w:rFonts w:cs="Arial"/>
                <w:sz w:val="18"/>
                <w:szCs w:val="18"/>
                <w:lang w:eastAsia="cs-CZ"/>
              </w:rPr>
            </w:pPr>
            <w:r w:rsidRPr="00D16024">
              <w:rPr>
                <w:rFonts w:cs="Arial"/>
                <w:sz w:val="18"/>
                <w:szCs w:val="18"/>
                <w:lang w:eastAsia="cs-CZ"/>
              </w:rPr>
              <w:lastRenderedPageBreak/>
              <w:t xml:space="preserve">Jedinečné území s velkým rozvojovým potenciálem celého kraje a možnosti přenositelnosti praxe v rámci EU. </w:t>
            </w:r>
            <w:r w:rsidRPr="00D16024">
              <w:rPr>
                <w:rFonts w:cs="Arial"/>
                <w:sz w:val="18"/>
                <w:szCs w:val="18"/>
                <w:lang w:eastAsia="cs-CZ"/>
              </w:rPr>
              <w:lastRenderedPageBreak/>
              <w:t>Transformace z hlediska ekonomického, sociálního i urbanistického, včetně změny image lokality, potažmo celého kraje. Transformace zajistí přísun nových investorů s vazbami na projekty v lokalitě.</w:t>
            </w:r>
          </w:p>
        </w:tc>
        <w:tc>
          <w:tcPr>
            <w:tcW w:w="2163" w:type="dxa"/>
          </w:tcPr>
          <w:p w14:paraId="68E7D544" w14:textId="77777777" w:rsidR="00CB4A00" w:rsidRDefault="00CB4A00" w:rsidP="00C66961">
            <w:pPr>
              <w:jc w:val="both"/>
              <w:rPr>
                <w:rFonts w:cs="Arial"/>
                <w:sz w:val="18"/>
                <w:szCs w:val="18"/>
                <w:lang w:eastAsia="cs-CZ"/>
              </w:rPr>
            </w:pPr>
          </w:p>
        </w:tc>
        <w:tc>
          <w:tcPr>
            <w:tcW w:w="2406" w:type="dxa"/>
          </w:tcPr>
          <w:p w14:paraId="20ED74B0" w14:textId="77777777" w:rsidR="00CB4A00" w:rsidRDefault="00CB4A00" w:rsidP="00C66961">
            <w:pPr>
              <w:jc w:val="both"/>
              <w:rPr>
                <w:rFonts w:cs="Arial"/>
                <w:sz w:val="18"/>
                <w:szCs w:val="18"/>
                <w:lang w:eastAsia="cs-CZ"/>
              </w:rPr>
            </w:pPr>
            <w:r w:rsidRPr="00D16024">
              <w:rPr>
                <w:rFonts w:cs="Arial"/>
                <w:sz w:val="18"/>
                <w:szCs w:val="18"/>
                <w:lang w:eastAsia="cs-CZ"/>
              </w:rPr>
              <w:t xml:space="preserve">Cílové skupiny – investoři, obyvatele regionu, vědecké instituce, studenti, </w:t>
            </w:r>
            <w:r w:rsidRPr="00D16024">
              <w:rPr>
                <w:rFonts w:cs="Arial"/>
                <w:sz w:val="18"/>
                <w:szCs w:val="18"/>
                <w:lang w:eastAsia="cs-CZ"/>
              </w:rPr>
              <w:lastRenderedPageBreak/>
              <w:t>podnikatelé, obyvatelé v příhraničí</w:t>
            </w:r>
          </w:p>
        </w:tc>
        <w:tc>
          <w:tcPr>
            <w:tcW w:w="1482" w:type="dxa"/>
            <w:vAlign w:val="center"/>
          </w:tcPr>
          <w:p w14:paraId="50A23564" w14:textId="77777777" w:rsidR="00CB4A00" w:rsidRDefault="00CB4A00" w:rsidP="00C66961">
            <w:pPr>
              <w:jc w:val="both"/>
              <w:rPr>
                <w:rFonts w:cs="Arial"/>
                <w:sz w:val="18"/>
                <w:szCs w:val="18"/>
                <w:lang w:eastAsia="cs-CZ"/>
              </w:rPr>
            </w:pPr>
            <w:r w:rsidRPr="005C6422">
              <w:rPr>
                <w:rFonts w:eastAsia="Arial" w:cs="Arial"/>
                <w:color w:val="000000" w:themeColor="text1"/>
                <w:sz w:val="18"/>
                <w:szCs w:val="18"/>
              </w:rPr>
              <w:lastRenderedPageBreak/>
              <w:t xml:space="preserve">POHO Park, plánované tematické výzvy, součást </w:t>
            </w:r>
            <w:r w:rsidRPr="005C6422">
              <w:rPr>
                <w:rFonts w:eastAsia="Arial" w:cs="Arial"/>
                <w:color w:val="000000" w:themeColor="text1"/>
                <w:sz w:val="18"/>
                <w:szCs w:val="18"/>
              </w:rPr>
              <w:lastRenderedPageBreak/>
              <w:t>podpory revitalizace strategických brownfieldů</w:t>
            </w:r>
          </w:p>
        </w:tc>
      </w:tr>
      <w:tr w:rsidR="00CB4A00" w14:paraId="6FF4AB58" w14:textId="77777777" w:rsidTr="00C66961">
        <w:trPr>
          <w:trHeight w:val="340"/>
          <w:jc w:val="center"/>
        </w:trPr>
        <w:tc>
          <w:tcPr>
            <w:tcW w:w="14039" w:type="dxa"/>
            <w:gridSpan w:val="9"/>
            <w:shd w:val="clear" w:color="auto" w:fill="EDEDED" w:themeFill="accent3" w:themeFillTint="33"/>
            <w:vAlign w:val="center"/>
          </w:tcPr>
          <w:p w14:paraId="30C4260E" w14:textId="77777777" w:rsidR="00CB4A00" w:rsidRDefault="00CB4A00" w:rsidP="00C66961">
            <w:pPr>
              <w:jc w:val="center"/>
              <w:rPr>
                <w:rFonts w:cs="Arial"/>
                <w:sz w:val="18"/>
                <w:szCs w:val="18"/>
                <w:lang w:eastAsia="cs-CZ"/>
              </w:rPr>
            </w:pPr>
            <w:r w:rsidRPr="26266EC3">
              <w:rPr>
                <w:rFonts w:eastAsia="Times New Roman" w:cs="Arial"/>
                <w:b/>
                <w:bCs/>
                <w:color w:val="000000" w:themeColor="text1"/>
                <w:sz w:val="18"/>
                <w:szCs w:val="18"/>
              </w:rPr>
              <w:lastRenderedPageBreak/>
              <w:t xml:space="preserve">Podpůrné projekty – </w:t>
            </w:r>
            <w:r>
              <w:rPr>
                <w:rFonts w:eastAsia="Times New Roman" w:cs="Arial"/>
                <w:b/>
                <w:bCs/>
                <w:color w:val="000000" w:themeColor="text1"/>
                <w:sz w:val="18"/>
                <w:szCs w:val="18"/>
              </w:rPr>
              <w:t>Moravskoslezský kraj</w:t>
            </w:r>
          </w:p>
        </w:tc>
      </w:tr>
      <w:tr w:rsidR="00CB4A00" w14:paraId="720ADF98" w14:textId="77777777" w:rsidTr="00C66961">
        <w:trPr>
          <w:jc w:val="center"/>
        </w:trPr>
        <w:tc>
          <w:tcPr>
            <w:tcW w:w="14039" w:type="dxa"/>
            <w:gridSpan w:val="9"/>
            <w:shd w:val="clear" w:color="auto" w:fill="D9E2F3" w:themeFill="accent5" w:themeFillTint="33"/>
          </w:tcPr>
          <w:p w14:paraId="185E3B05" w14:textId="77777777" w:rsidR="00CB4A00" w:rsidRPr="00585F8F" w:rsidRDefault="00CB4A00" w:rsidP="002E4092">
            <w:pPr>
              <w:pStyle w:val="Odstavecseseznamem"/>
              <w:numPr>
                <w:ilvl w:val="0"/>
                <w:numId w:val="10"/>
              </w:numPr>
              <w:jc w:val="center"/>
              <w:rPr>
                <w:rFonts w:cs="Arial"/>
                <w:b/>
                <w:bCs/>
                <w:sz w:val="18"/>
                <w:szCs w:val="18"/>
                <w:lang w:eastAsia="cs-CZ"/>
              </w:rPr>
            </w:pPr>
            <w:r w:rsidRPr="00585F8F">
              <w:rPr>
                <w:rFonts w:cs="Arial"/>
                <w:b/>
                <w:bCs/>
                <w:sz w:val="18"/>
                <w:szCs w:val="18"/>
                <w:lang w:eastAsia="cs-CZ"/>
              </w:rPr>
              <w:t>Galerie výtvarného umění v Ostravě</w:t>
            </w:r>
          </w:p>
        </w:tc>
      </w:tr>
      <w:tr w:rsidR="00CB4A00" w14:paraId="2C6A358F" w14:textId="77777777" w:rsidTr="00C66961">
        <w:trPr>
          <w:jc w:val="center"/>
        </w:trPr>
        <w:tc>
          <w:tcPr>
            <w:tcW w:w="2547" w:type="dxa"/>
          </w:tcPr>
          <w:p w14:paraId="2630AD93" w14:textId="77777777" w:rsidR="00CB4A00" w:rsidRPr="00D17615" w:rsidRDefault="00CB4A00" w:rsidP="00C66961">
            <w:pPr>
              <w:jc w:val="both"/>
              <w:rPr>
                <w:rFonts w:cs="Arial"/>
                <w:sz w:val="18"/>
                <w:szCs w:val="18"/>
                <w:lang w:eastAsia="cs-CZ"/>
              </w:rPr>
            </w:pPr>
            <w:r w:rsidRPr="00D17615">
              <w:rPr>
                <w:rFonts w:cs="Arial"/>
                <w:sz w:val="18"/>
                <w:szCs w:val="18"/>
                <w:lang w:eastAsia="cs-CZ"/>
              </w:rPr>
              <w:t xml:space="preserve">Krajská galerie </w:t>
            </w:r>
            <w:proofErr w:type="gramStart"/>
            <w:r w:rsidRPr="00D17615">
              <w:rPr>
                <w:rFonts w:cs="Arial"/>
                <w:sz w:val="18"/>
                <w:szCs w:val="18"/>
                <w:lang w:eastAsia="cs-CZ"/>
              </w:rPr>
              <w:t>patří</w:t>
            </w:r>
            <w:proofErr w:type="gramEnd"/>
            <w:r w:rsidRPr="00D17615">
              <w:rPr>
                <w:rFonts w:cs="Arial"/>
                <w:sz w:val="18"/>
                <w:szCs w:val="18"/>
                <w:lang w:eastAsia="cs-CZ"/>
              </w:rPr>
              <w:t xml:space="preserve"> mezi pět nejvýznamnějších a nejnavštěvovanějších galerií v České republice. Rekonstrukce s přístavbou Domu umění umožní rozšíření o nové plochy pro rozvoj a poskytování kvalitních výstavnických služeb a instalace dalších expozičních celků v potřebném rozsahu, rozšíření výstavních prostor stávající galerie a </w:t>
            </w:r>
            <w:proofErr w:type="gramStart"/>
            <w:r w:rsidRPr="00D17615">
              <w:rPr>
                <w:rFonts w:cs="Arial"/>
                <w:sz w:val="18"/>
                <w:szCs w:val="18"/>
                <w:lang w:eastAsia="cs-CZ"/>
              </w:rPr>
              <w:t>vytvoří</w:t>
            </w:r>
            <w:proofErr w:type="gramEnd"/>
            <w:r w:rsidRPr="00D17615">
              <w:rPr>
                <w:rFonts w:cs="Arial"/>
                <w:sz w:val="18"/>
                <w:szCs w:val="18"/>
                <w:lang w:eastAsia="cs-CZ"/>
              </w:rPr>
              <w:t xml:space="preserve"> odpovídající podmínky pro odbornou činnost se sbírkovým materiálem.</w:t>
            </w:r>
          </w:p>
          <w:p w14:paraId="347FB4D9" w14:textId="77777777" w:rsidR="00CB4A00" w:rsidRPr="00D17615" w:rsidRDefault="00CB4A00" w:rsidP="00C66961">
            <w:pPr>
              <w:jc w:val="both"/>
              <w:rPr>
                <w:rFonts w:cs="Arial"/>
                <w:sz w:val="18"/>
                <w:szCs w:val="18"/>
                <w:lang w:eastAsia="cs-CZ"/>
              </w:rPr>
            </w:pPr>
            <w:r w:rsidRPr="00D17615">
              <w:rPr>
                <w:rFonts w:cs="Arial"/>
                <w:sz w:val="18"/>
                <w:szCs w:val="18"/>
                <w:lang w:eastAsia="cs-CZ"/>
              </w:rPr>
              <w:t xml:space="preserve">  Rozvinutí potenciálu, který v GVUO a jejich sbírkách je, nejen k lidnaté aglomeraci, ale zejména k místu na hranici tři zemí. </w:t>
            </w:r>
          </w:p>
          <w:p w14:paraId="2249B782" w14:textId="77777777" w:rsidR="00CB4A00" w:rsidRDefault="00CB4A00" w:rsidP="00C66961">
            <w:pPr>
              <w:jc w:val="both"/>
              <w:rPr>
                <w:rFonts w:cs="Arial"/>
                <w:sz w:val="18"/>
                <w:szCs w:val="18"/>
                <w:lang w:eastAsia="cs-CZ"/>
              </w:rPr>
            </w:pPr>
            <w:r w:rsidRPr="00D17615">
              <w:rPr>
                <w:rFonts w:cs="Arial"/>
                <w:sz w:val="18"/>
                <w:szCs w:val="18"/>
                <w:lang w:eastAsia="cs-CZ"/>
              </w:rPr>
              <w:t>Vytvoření kulturně edukativního centra 21. století.</w:t>
            </w:r>
          </w:p>
        </w:tc>
        <w:tc>
          <w:tcPr>
            <w:tcW w:w="1001" w:type="dxa"/>
          </w:tcPr>
          <w:p w14:paraId="0111C56E" w14:textId="77777777" w:rsidR="00CB4A00" w:rsidRDefault="00CB4A00" w:rsidP="00C66961">
            <w:pPr>
              <w:jc w:val="both"/>
              <w:rPr>
                <w:rFonts w:cs="Arial"/>
                <w:sz w:val="18"/>
                <w:szCs w:val="18"/>
                <w:lang w:eastAsia="cs-CZ"/>
              </w:rPr>
            </w:pPr>
            <w:r w:rsidRPr="005C6422">
              <w:rPr>
                <w:rFonts w:eastAsia="Arial" w:cs="Arial"/>
                <w:color w:val="000000" w:themeColor="text1"/>
                <w:sz w:val="18"/>
                <w:szCs w:val="18"/>
              </w:rPr>
              <w:t>850 mil. Kč</w:t>
            </w:r>
          </w:p>
        </w:tc>
        <w:tc>
          <w:tcPr>
            <w:tcW w:w="1692" w:type="dxa"/>
            <w:gridSpan w:val="2"/>
          </w:tcPr>
          <w:p w14:paraId="21CFC037" w14:textId="77777777" w:rsidR="00CB4A00" w:rsidRPr="00D17615" w:rsidRDefault="00CB4A00" w:rsidP="00C66961">
            <w:pPr>
              <w:jc w:val="both"/>
              <w:rPr>
                <w:rFonts w:cs="Arial"/>
                <w:sz w:val="18"/>
                <w:szCs w:val="18"/>
                <w:lang w:eastAsia="cs-CZ"/>
              </w:rPr>
            </w:pPr>
            <w:r w:rsidRPr="00D17615">
              <w:rPr>
                <w:rFonts w:cs="Arial"/>
                <w:sz w:val="18"/>
                <w:szCs w:val="18"/>
                <w:lang w:eastAsia="cs-CZ"/>
              </w:rPr>
              <w:t xml:space="preserve">Zdroj financování není dosud znám (průběžné ověřování různých zdrojů). </w:t>
            </w:r>
          </w:p>
          <w:p w14:paraId="3A0DBAC0" w14:textId="77777777" w:rsidR="00CB4A00" w:rsidRPr="00D17615" w:rsidRDefault="00CB4A00" w:rsidP="00C66961">
            <w:pPr>
              <w:jc w:val="both"/>
              <w:rPr>
                <w:rFonts w:cs="Arial"/>
                <w:sz w:val="18"/>
                <w:szCs w:val="18"/>
                <w:lang w:eastAsia="cs-CZ"/>
              </w:rPr>
            </w:pPr>
            <w:r w:rsidRPr="00D17615">
              <w:rPr>
                <w:rFonts w:cs="Arial"/>
                <w:sz w:val="18"/>
                <w:szCs w:val="18"/>
                <w:lang w:eastAsia="cs-CZ"/>
              </w:rPr>
              <w:t>Předpoklad:</w:t>
            </w:r>
          </w:p>
          <w:p w14:paraId="3BC222A4" w14:textId="77777777" w:rsidR="00CB4A00" w:rsidRPr="00D17615" w:rsidRDefault="00CB4A00" w:rsidP="00C66961">
            <w:pPr>
              <w:jc w:val="both"/>
              <w:rPr>
                <w:rFonts w:cs="Arial"/>
                <w:sz w:val="18"/>
                <w:szCs w:val="18"/>
                <w:lang w:eastAsia="cs-CZ"/>
              </w:rPr>
            </w:pPr>
            <w:r w:rsidRPr="00D17615">
              <w:rPr>
                <w:rFonts w:cs="Arial"/>
                <w:sz w:val="18"/>
                <w:szCs w:val="18"/>
                <w:lang w:eastAsia="cs-CZ"/>
              </w:rPr>
              <w:t xml:space="preserve">  účast kraje – 150 mil. Kč</w:t>
            </w:r>
          </w:p>
          <w:p w14:paraId="21B7C94B" w14:textId="77777777" w:rsidR="00CB4A00" w:rsidRPr="00D17615" w:rsidRDefault="00CB4A00" w:rsidP="00C66961">
            <w:pPr>
              <w:jc w:val="both"/>
              <w:rPr>
                <w:rFonts w:cs="Arial"/>
                <w:sz w:val="18"/>
                <w:szCs w:val="18"/>
                <w:lang w:eastAsia="cs-CZ"/>
              </w:rPr>
            </w:pPr>
            <w:r w:rsidRPr="00D17615">
              <w:rPr>
                <w:rFonts w:cs="Arial"/>
                <w:sz w:val="18"/>
                <w:szCs w:val="18"/>
                <w:lang w:eastAsia="cs-CZ"/>
              </w:rPr>
              <w:t xml:space="preserve">  účast statutárního města Ostravy – 150 mil. Kč</w:t>
            </w:r>
          </w:p>
          <w:p w14:paraId="22B20250" w14:textId="77777777" w:rsidR="00CB4A00" w:rsidRDefault="00CB4A00" w:rsidP="00C66961">
            <w:pPr>
              <w:jc w:val="both"/>
              <w:rPr>
                <w:rFonts w:cs="Arial"/>
                <w:sz w:val="18"/>
                <w:szCs w:val="18"/>
                <w:lang w:eastAsia="cs-CZ"/>
              </w:rPr>
            </w:pPr>
            <w:r w:rsidRPr="00D17615">
              <w:rPr>
                <w:rFonts w:cs="Arial"/>
                <w:sz w:val="18"/>
                <w:szCs w:val="18"/>
                <w:lang w:eastAsia="cs-CZ"/>
              </w:rPr>
              <w:t xml:space="preserve">  účast státního rozpočtu – 300 mil. Kč</w:t>
            </w:r>
          </w:p>
        </w:tc>
        <w:tc>
          <w:tcPr>
            <w:tcW w:w="2748" w:type="dxa"/>
            <w:gridSpan w:val="2"/>
          </w:tcPr>
          <w:p w14:paraId="220F7627" w14:textId="77777777" w:rsidR="00CB4A00" w:rsidRDefault="00CB4A00" w:rsidP="00C66961">
            <w:pPr>
              <w:jc w:val="both"/>
              <w:rPr>
                <w:rFonts w:cs="Arial"/>
                <w:sz w:val="18"/>
                <w:szCs w:val="18"/>
                <w:lang w:eastAsia="cs-CZ"/>
              </w:rPr>
            </w:pPr>
            <w:r w:rsidRPr="0004011E">
              <w:rPr>
                <w:rFonts w:cs="Arial"/>
                <w:sz w:val="18"/>
                <w:szCs w:val="18"/>
                <w:lang w:eastAsia="cs-CZ"/>
              </w:rPr>
              <w:t>Výstavba tohoto charakteru může významně pomoci zkvalitnění image uhelných regionů a rozvoj turistického potenciálu uhelného regionu, které budou mít dopad na generování vedlejších pozitivních synergických restrukturalizačních efektů a potenciálu pro další hospodářský a sociální rozvoj území.  Příkladem je nárůst patriotismu u obyvatel, díky kterému jsou schopni lépe zvládat krátkodobé krize a problémové období a aktivně se zapojovat do aktivit na podporu rozvoje regionu</w:t>
            </w:r>
            <w:r>
              <w:rPr>
                <w:rFonts w:cs="Arial"/>
                <w:sz w:val="18"/>
                <w:szCs w:val="18"/>
                <w:lang w:eastAsia="cs-CZ"/>
              </w:rPr>
              <w:t>.</w:t>
            </w:r>
          </w:p>
        </w:tc>
        <w:tc>
          <w:tcPr>
            <w:tcW w:w="2163" w:type="dxa"/>
          </w:tcPr>
          <w:p w14:paraId="46348DC2" w14:textId="77777777" w:rsidR="00CB4A00" w:rsidRDefault="00CB4A00" w:rsidP="00C66961">
            <w:pPr>
              <w:jc w:val="both"/>
              <w:rPr>
                <w:rFonts w:cs="Arial"/>
                <w:sz w:val="18"/>
                <w:szCs w:val="18"/>
                <w:lang w:eastAsia="cs-CZ"/>
              </w:rPr>
            </w:pPr>
            <w:r w:rsidRPr="0004011E">
              <w:rPr>
                <w:rFonts w:cs="Arial"/>
                <w:sz w:val="18"/>
                <w:szCs w:val="18"/>
                <w:lang w:eastAsia="cs-CZ"/>
              </w:rPr>
              <w:t>Zkvalitnění života území ve strukturálně postižených regionech, zamezení odchodu obyvatel z území, změna image kraje (černý region)</w:t>
            </w:r>
            <w:r>
              <w:rPr>
                <w:rFonts w:cs="Arial"/>
                <w:sz w:val="18"/>
                <w:szCs w:val="18"/>
                <w:lang w:eastAsia="cs-CZ"/>
              </w:rPr>
              <w:t xml:space="preserve">. </w:t>
            </w:r>
          </w:p>
        </w:tc>
        <w:tc>
          <w:tcPr>
            <w:tcW w:w="2406" w:type="dxa"/>
          </w:tcPr>
          <w:p w14:paraId="692F3247" w14:textId="77777777" w:rsidR="00CB4A00" w:rsidRDefault="00CB4A00" w:rsidP="00C66961">
            <w:pPr>
              <w:jc w:val="both"/>
              <w:rPr>
                <w:rFonts w:cs="Arial"/>
                <w:sz w:val="18"/>
                <w:szCs w:val="18"/>
                <w:lang w:eastAsia="cs-CZ"/>
              </w:rPr>
            </w:pPr>
            <w:r>
              <w:rPr>
                <w:rFonts w:eastAsia="Arial" w:cs="Arial"/>
                <w:color w:val="000000" w:themeColor="text1"/>
                <w:sz w:val="18"/>
                <w:szCs w:val="18"/>
              </w:rPr>
              <w:t>C</w:t>
            </w:r>
            <w:r w:rsidRPr="005C6422">
              <w:rPr>
                <w:rFonts w:eastAsia="Arial" w:cs="Arial"/>
                <w:color w:val="000000" w:themeColor="text1"/>
                <w:sz w:val="18"/>
                <w:szCs w:val="18"/>
              </w:rPr>
              <w:t>ílov</w:t>
            </w:r>
            <w:r>
              <w:rPr>
                <w:rFonts w:eastAsia="Arial" w:cs="Arial"/>
                <w:color w:val="000000" w:themeColor="text1"/>
                <w:sz w:val="18"/>
                <w:szCs w:val="18"/>
              </w:rPr>
              <w:t>é</w:t>
            </w:r>
            <w:r w:rsidRPr="005C6422">
              <w:rPr>
                <w:rFonts w:eastAsia="Arial" w:cs="Arial"/>
                <w:color w:val="000000" w:themeColor="text1"/>
                <w:sz w:val="18"/>
                <w:szCs w:val="18"/>
              </w:rPr>
              <w:t xml:space="preserve"> skupiny – obyvatele regionu, nadregionální a přeshraniční přesah</w:t>
            </w:r>
            <w:r>
              <w:rPr>
                <w:rFonts w:eastAsia="Arial" w:cs="Arial"/>
                <w:color w:val="000000" w:themeColor="text1"/>
                <w:sz w:val="18"/>
                <w:szCs w:val="18"/>
              </w:rPr>
              <w:t>.</w:t>
            </w:r>
          </w:p>
        </w:tc>
        <w:tc>
          <w:tcPr>
            <w:tcW w:w="1482" w:type="dxa"/>
            <w:vAlign w:val="center"/>
          </w:tcPr>
          <w:p w14:paraId="52A8AFB9" w14:textId="77777777" w:rsidR="00CB4A00" w:rsidRDefault="00CB4A00" w:rsidP="00C66961">
            <w:pPr>
              <w:jc w:val="center"/>
              <w:rPr>
                <w:rFonts w:cs="Arial"/>
                <w:sz w:val="18"/>
                <w:szCs w:val="18"/>
                <w:lang w:eastAsia="cs-CZ"/>
              </w:rPr>
            </w:pPr>
            <w:r w:rsidRPr="005C6422">
              <w:rPr>
                <w:rFonts w:eastAsia="Arial" w:cs="Arial"/>
                <w:color w:val="000000" w:themeColor="text1"/>
                <w:sz w:val="18"/>
                <w:szCs w:val="18"/>
              </w:rPr>
              <w:t>X</w:t>
            </w:r>
          </w:p>
        </w:tc>
      </w:tr>
      <w:tr w:rsidR="00CB4A00" w14:paraId="5D26E7A9" w14:textId="77777777" w:rsidTr="00C66961">
        <w:trPr>
          <w:jc w:val="center"/>
        </w:trPr>
        <w:tc>
          <w:tcPr>
            <w:tcW w:w="14039" w:type="dxa"/>
            <w:gridSpan w:val="9"/>
            <w:shd w:val="clear" w:color="auto" w:fill="D9E2F3" w:themeFill="accent5" w:themeFillTint="33"/>
          </w:tcPr>
          <w:p w14:paraId="01957144" w14:textId="77777777" w:rsidR="00CB4A00" w:rsidRPr="005723D0" w:rsidRDefault="00CB4A00" w:rsidP="002E4092">
            <w:pPr>
              <w:pStyle w:val="Odstavecseseznamem"/>
              <w:numPr>
                <w:ilvl w:val="0"/>
                <w:numId w:val="10"/>
              </w:numPr>
              <w:jc w:val="center"/>
              <w:rPr>
                <w:rFonts w:cs="Arial"/>
                <w:b/>
                <w:bCs/>
                <w:sz w:val="18"/>
                <w:szCs w:val="18"/>
                <w:lang w:eastAsia="cs-CZ"/>
              </w:rPr>
            </w:pPr>
            <w:r w:rsidRPr="005723D0">
              <w:rPr>
                <w:rFonts w:cs="Arial"/>
                <w:b/>
                <w:bCs/>
                <w:sz w:val="18"/>
                <w:szCs w:val="18"/>
                <w:lang w:eastAsia="cs-CZ"/>
              </w:rPr>
              <w:t>Koncertní sál a rekonstrukce Domu kultury v Ostravě</w:t>
            </w:r>
          </w:p>
        </w:tc>
      </w:tr>
      <w:tr w:rsidR="00CB4A00" w14:paraId="2F6B3E3E" w14:textId="77777777" w:rsidTr="00C66961">
        <w:trPr>
          <w:jc w:val="center"/>
        </w:trPr>
        <w:tc>
          <w:tcPr>
            <w:tcW w:w="2547" w:type="dxa"/>
          </w:tcPr>
          <w:p w14:paraId="389233CF" w14:textId="77777777" w:rsidR="00CB4A00" w:rsidRDefault="00CB4A00" w:rsidP="00C66961">
            <w:pPr>
              <w:jc w:val="both"/>
              <w:rPr>
                <w:rFonts w:cs="Arial"/>
                <w:sz w:val="18"/>
                <w:szCs w:val="18"/>
                <w:lang w:eastAsia="cs-CZ"/>
              </w:rPr>
            </w:pPr>
            <w:r w:rsidRPr="009574A8">
              <w:rPr>
                <w:rFonts w:cs="Arial"/>
                <w:sz w:val="18"/>
                <w:szCs w:val="18"/>
                <w:lang w:eastAsia="cs-CZ"/>
              </w:rPr>
              <w:t xml:space="preserve">Cílem projektu je vytvoření adekvátního zázemí pro </w:t>
            </w:r>
            <w:r w:rsidRPr="009574A8">
              <w:rPr>
                <w:rFonts w:cs="Arial"/>
                <w:sz w:val="18"/>
                <w:szCs w:val="18"/>
                <w:lang w:eastAsia="cs-CZ"/>
              </w:rPr>
              <w:lastRenderedPageBreak/>
              <w:t>Janáčkovu filharmonii Ostrava, symfonický orchestr patřící ke špičce v ČR, a to i v evropském kontextu a také kulturně edukativního centra. Stavba nového koncertního sálu s moderním technologickým vybavením a akustikou se stane hudebním centrem města Ostrava a Moravskoslezského kraje. Koncertní hala doplňuje kulturní infrastrukturu města Ostravy, konkrétně Moravskoslezskou vědeckou knihovnu „Černá kostka“ a krajskou Galerii výtvarného umění „Bílý stín“. Dále doplňuje v širším kontextu celek složený z aktivit v Dolní oblasti Vítkovic, Trojhalí, Galerie Plato. Koncertní hala je specificky zaměřená na hudební produkci, kvalitní hudbu vyžadující kvalitní šíření zvuku. Nový sál je příkladem nejmodernějšího řešení energetické úspornosti. Jedním z nich je využití důlní vody jako obnovitelného zdroje vytápění.</w:t>
            </w:r>
          </w:p>
        </w:tc>
        <w:tc>
          <w:tcPr>
            <w:tcW w:w="1001" w:type="dxa"/>
          </w:tcPr>
          <w:p w14:paraId="5BDA6357" w14:textId="77777777" w:rsidR="00CB4A00" w:rsidRDefault="00CB4A00" w:rsidP="00C66961">
            <w:pPr>
              <w:jc w:val="both"/>
              <w:rPr>
                <w:rFonts w:cs="Arial"/>
                <w:sz w:val="18"/>
                <w:szCs w:val="18"/>
                <w:lang w:eastAsia="cs-CZ"/>
              </w:rPr>
            </w:pPr>
            <w:r w:rsidRPr="009574A8">
              <w:rPr>
                <w:rFonts w:cs="Arial"/>
                <w:sz w:val="18"/>
                <w:szCs w:val="18"/>
                <w:lang w:eastAsia="cs-CZ"/>
              </w:rPr>
              <w:lastRenderedPageBreak/>
              <w:t>3,2 mld. Kč</w:t>
            </w:r>
          </w:p>
        </w:tc>
        <w:tc>
          <w:tcPr>
            <w:tcW w:w="1692" w:type="dxa"/>
            <w:gridSpan w:val="2"/>
          </w:tcPr>
          <w:p w14:paraId="6421E3F5" w14:textId="77777777" w:rsidR="00CB4A00" w:rsidRPr="009574A8" w:rsidRDefault="00CB4A00" w:rsidP="00C66961">
            <w:pPr>
              <w:jc w:val="both"/>
              <w:rPr>
                <w:rFonts w:cs="Arial"/>
                <w:sz w:val="18"/>
                <w:szCs w:val="18"/>
                <w:lang w:eastAsia="cs-CZ"/>
              </w:rPr>
            </w:pPr>
            <w:r w:rsidRPr="009574A8">
              <w:rPr>
                <w:rFonts w:cs="Arial"/>
                <w:sz w:val="18"/>
                <w:szCs w:val="18"/>
                <w:lang w:eastAsia="cs-CZ"/>
              </w:rPr>
              <w:t xml:space="preserve">Na základě memoranda </w:t>
            </w:r>
            <w:r w:rsidRPr="009574A8">
              <w:rPr>
                <w:rFonts w:cs="Arial"/>
                <w:sz w:val="18"/>
                <w:szCs w:val="18"/>
                <w:lang w:eastAsia="cs-CZ"/>
              </w:rPr>
              <w:lastRenderedPageBreak/>
              <w:t>uzavřeného mezi státem, MSK a městem Ostravou se předpokládá financování ze zdrojů těchto subjektů v následujícím poměru: stát 600 mil. Kč, město Ostrava 550 mil. Kč, MSK 300 mil. Kč. Město Ostrava za účelem financování projektu zřídilo fond, do kterého jsou průběžně vkládány prostředky pro realizaci záměru Koncertní haly.</w:t>
            </w:r>
          </w:p>
          <w:p w14:paraId="033328AA" w14:textId="77777777" w:rsidR="00CB4A00" w:rsidRPr="009574A8" w:rsidRDefault="00CB4A00" w:rsidP="00C66961">
            <w:pPr>
              <w:jc w:val="both"/>
              <w:rPr>
                <w:rFonts w:cs="Arial"/>
                <w:sz w:val="18"/>
                <w:szCs w:val="18"/>
                <w:lang w:eastAsia="cs-CZ"/>
              </w:rPr>
            </w:pPr>
            <w:r w:rsidRPr="009574A8">
              <w:rPr>
                <w:rFonts w:cs="Arial"/>
                <w:sz w:val="18"/>
                <w:szCs w:val="18"/>
                <w:lang w:eastAsia="cs-CZ"/>
              </w:rPr>
              <w:t xml:space="preserve"> </w:t>
            </w:r>
          </w:p>
          <w:p w14:paraId="5CABC27F" w14:textId="77777777" w:rsidR="00CB4A00" w:rsidRDefault="00CB4A00" w:rsidP="00C66961">
            <w:pPr>
              <w:jc w:val="both"/>
              <w:rPr>
                <w:rFonts w:cs="Arial"/>
                <w:sz w:val="18"/>
                <w:szCs w:val="18"/>
                <w:lang w:eastAsia="cs-CZ"/>
              </w:rPr>
            </w:pPr>
            <w:r w:rsidRPr="009574A8">
              <w:rPr>
                <w:rFonts w:cs="Arial"/>
                <w:sz w:val="18"/>
                <w:szCs w:val="18"/>
                <w:lang w:eastAsia="cs-CZ"/>
              </w:rPr>
              <w:t>III. pilíř MST</w:t>
            </w:r>
          </w:p>
        </w:tc>
        <w:tc>
          <w:tcPr>
            <w:tcW w:w="2748" w:type="dxa"/>
            <w:gridSpan w:val="2"/>
          </w:tcPr>
          <w:p w14:paraId="44515995" w14:textId="77777777" w:rsidR="00CB4A00" w:rsidRDefault="00CB4A00" w:rsidP="00C66961">
            <w:pPr>
              <w:jc w:val="both"/>
              <w:rPr>
                <w:rFonts w:cs="Arial"/>
                <w:sz w:val="18"/>
                <w:szCs w:val="18"/>
                <w:lang w:eastAsia="cs-CZ"/>
              </w:rPr>
            </w:pPr>
            <w:r w:rsidRPr="009574A8">
              <w:rPr>
                <w:rFonts w:cs="Arial"/>
                <w:sz w:val="18"/>
                <w:szCs w:val="18"/>
                <w:lang w:eastAsia="cs-CZ"/>
              </w:rPr>
              <w:lastRenderedPageBreak/>
              <w:t xml:space="preserve">Výstavba tohoto charakteru může významně pomoci </w:t>
            </w:r>
            <w:r w:rsidRPr="009574A8">
              <w:rPr>
                <w:rFonts w:cs="Arial"/>
                <w:sz w:val="18"/>
                <w:szCs w:val="18"/>
                <w:lang w:eastAsia="cs-CZ"/>
              </w:rPr>
              <w:lastRenderedPageBreak/>
              <w:t>zkvalitnění image uhelných regionů a rozvoj turistického potenciálu uhelného regionu, které budou mít dopad na generování vedlejších pozitivních synergických restrukturalizačních efektů a potenciálu pro další hospodářský a sociální rozvoj území.  Příkladem je nárůst patriotismu u obyvatel, díky kterému jsou schopni lépe zvládat krátkodobé krize a problémové období a aktivně se zapojovat do aktivit na podporu rozvoje regionu</w:t>
            </w:r>
            <w:r>
              <w:rPr>
                <w:rFonts w:cs="Arial"/>
                <w:sz w:val="18"/>
                <w:szCs w:val="18"/>
                <w:lang w:eastAsia="cs-CZ"/>
              </w:rPr>
              <w:t xml:space="preserve">. </w:t>
            </w:r>
          </w:p>
        </w:tc>
        <w:tc>
          <w:tcPr>
            <w:tcW w:w="2163" w:type="dxa"/>
          </w:tcPr>
          <w:p w14:paraId="7FE672A1" w14:textId="77777777" w:rsidR="00CB4A00" w:rsidRDefault="00CB4A00" w:rsidP="00C66961">
            <w:pPr>
              <w:jc w:val="both"/>
              <w:rPr>
                <w:rFonts w:cs="Arial"/>
                <w:sz w:val="18"/>
                <w:szCs w:val="18"/>
                <w:lang w:eastAsia="cs-CZ"/>
              </w:rPr>
            </w:pPr>
            <w:r w:rsidRPr="009574A8">
              <w:rPr>
                <w:rFonts w:cs="Arial"/>
                <w:sz w:val="18"/>
                <w:szCs w:val="18"/>
                <w:lang w:eastAsia="cs-CZ"/>
              </w:rPr>
              <w:lastRenderedPageBreak/>
              <w:t xml:space="preserve">Zkvalitnění života území ve strukturálně </w:t>
            </w:r>
            <w:r w:rsidRPr="009574A8">
              <w:rPr>
                <w:rFonts w:cs="Arial"/>
                <w:sz w:val="18"/>
                <w:szCs w:val="18"/>
                <w:lang w:eastAsia="cs-CZ"/>
              </w:rPr>
              <w:lastRenderedPageBreak/>
              <w:t>postižených regionech, zamezení odchodu obyvatel z území, změna image kraje (černý region)</w:t>
            </w:r>
            <w:r>
              <w:rPr>
                <w:rFonts w:cs="Arial"/>
                <w:sz w:val="18"/>
                <w:szCs w:val="18"/>
                <w:lang w:eastAsia="cs-CZ"/>
              </w:rPr>
              <w:t xml:space="preserve">. </w:t>
            </w:r>
          </w:p>
        </w:tc>
        <w:tc>
          <w:tcPr>
            <w:tcW w:w="2406" w:type="dxa"/>
          </w:tcPr>
          <w:p w14:paraId="46C891F5" w14:textId="77777777" w:rsidR="00CB4A00" w:rsidRDefault="00CB4A00" w:rsidP="00C66961">
            <w:pPr>
              <w:jc w:val="both"/>
              <w:rPr>
                <w:rFonts w:cs="Arial"/>
                <w:sz w:val="18"/>
                <w:szCs w:val="18"/>
                <w:lang w:eastAsia="cs-CZ"/>
              </w:rPr>
            </w:pPr>
            <w:r>
              <w:rPr>
                <w:rFonts w:eastAsia="Arial" w:cs="Arial"/>
                <w:color w:val="000000" w:themeColor="text1"/>
                <w:sz w:val="18"/>
                <w:szCs w:val="18"/>
              </w:rPr>
              <w:lastRenderedPageBreak/>
              <w:t>C</w:t>
            </w:r>
            <w:r w:rsidRPr="005C6422">
              <w:rPr>
                <w:rFonts w:eastAsia="Arial" w:cs="Arial"/>
                <w:color w:val="000000" w:themeColor="text1"/>
                <w:sz w:val="18"/>
                <w:szCs w:val="18"/>
              </w:rPr>
              <w:t>ílov</w:t>
            </w:r>
            <w:r>
              <w:rPr>
                <w:rFonts w:eastAsia="Arial" w:cs="Arial"/>
                <w:color w:val="000000" w:themeColor="text1"/>
                <w:sz w:val="18"/>
                <w:szCs w:val="18"/>
              </w:rPr>
              <w:t>é</w:t>
            </w:r>
            <w:r w:rsidRPr="005C6422">
              <w:rPr>
                <w:rFonts w:eastAsia="Arial" w:cs="Arial"/>
                <w:color w:val="000000" w:themeColor="text1"/>
                <w:sz w:val="18"/>
                <w:szCs w:val="18"/>
              </w:rPr>
              <w:t xml:space="preserve"> skupiny – obyvatele regionu, studenti, </w:t>
            </w:r>
            <w:r w:rsidRPr="005C6422">
              <w:rPr>
                <w:rFonts w:eastAsia="Arial" w:cs="Arial"/>
                <w:color w:val="000000" w:themeColor="text1"/>
                <w:sz w:val="18"/>
                <w:szCs w:val="18"/>
              </w:rPr>
              <w:lastRenderedPageBreak/>
              <w:t>nadregionální a přeshraniční přesah</w:t>
            </w:r>
          </w:p>
        </w:tc>
        <w:tc>
          <w:tcPr>
            <w:tcW w:w="1482" w:type="dxa"/>
            <w:vAlign w:val="center"/>
          </w:tcPr>
          <w:p w14:paraId="17944D6E" w14:textId="77777777" w:rsidR="00CB4A00" w:rsidRDefault="00CB4A00" w:rsidP="00C66961">
            <w:pPr>
              <w:jc w:val="center"/>
              <w:rPr>
                <w:rFonts w:cs="Arial"/>
                <w:sz w:val="18"/>
                <w:szCs w:val="18"/>
                <w:lang w:eastAsia="cs-CZ"/>
              </w:rPr>
            </w:pPr>
            <w:r w:rsidRPr="005C6422">
              <w:rPr>
                <w:rFonts w:eastAsia="Arial" w:cs="Arial"/>
                <w:color w:val="000000" w:themeColor="text1"/>
                <w:sz w:val="18"/>
                <w:szCs w:val="18"/>
              </w:rPr>
              <w:lastRenderedPageBreak/>
              <w:t xml:space="preserve">Úvěrový nástroj pro veřejný </w:t>
            </w:r>
            <w:r w:rsidRPr="005C6422">
              <w:rPr>
                <w:rFonts w:eastAsia="Arial" w:cs="Arial"/>
                <w:color w:val="000000" w:themeColor="text1"/>
                <w:sz w:val="18"/>
                <w:szCs w:val="18"/>
              </w:rPr>
              <w:lastRenderedPageBreak/>
              <w:t>sektor – III. pilíř MST</w:t>
            </w:r>
          </w:p>
        </w:tc>
      </w:tr>
      <w:tr w:rsidR="00CB4A00" w14:paraId="636C5AFE" w14:textId="77777777" w:rsidTr="00C66961">
        <w:trPr>
          <w:trHeight w:val="83"/>
          <w:jc w:val="center"/>
        </w:trPr>
        <w:tc>
          <w:tcPr>
            <w:tcW w:w="14039" w:type="dxa"/>
            <w:gridSpan w:val="9"/>
            <w:shd w:val="clear" w:color="auto" w:fill="D9E2F3" w:themeFill="accent5" w:themeFillTint="33"/>
            <w:vAlign w:val="center"/>
          </w:tcPr>
          <w:p w14:paraId="403F9CBA" w14:textId="77777777" w:rsidR="00CB4A00" w:rsidRPr="008D5187" w:rsidRDefault="00CB4A00" w:rsidP="002E4092">
            <w:pPr>
              <w:pStyle w:val="Odstavecseseznamem"/>
              <w:numPr>
                <w:ilvl w:val="0"/>
                <w:numId w:val="10"/>
              </w:numPr>
              <w:jc w:val="center"/>
              <w:rPr>
                <w:rFonts w:cs="Arial"/>
                <w:b/>
                <w:bCs/>
                <w:sz w:val="18"/>
                <w:szCs w:val="18"/>
                <w:lang w:eastAsia="cs-CZ"/>
              </w:rPr>
            </w:pPr>
            <w:r w:rsidRPr="008D5187">
              <w:rPr>
                <w:rFonts w:cs="Arial"/>
                <w:b/>
                <w:bCs/>
                <w:sz w:val="18"/>
                <w:szCs w:val="18"/>
                <w:lang w:eastAsia="cs-CZ"/>
              </w:rPr>
              <w:lastRenderedPageBreak/>
              <w:t>Muzeum+ v Dolní oblasti Vítkovice</w:t>
            </w:r>
          </w:p>
        </w:tc>
      </w:tr>
      <w:tr w:rsidR="00CB4A00" w14:paraId="69300ABB" w14:textId="77777777" w:rsidTr="00C66961">
        <w:trPr>
          <w:jc w:val="center"/>
        </w:trPr>
        <w:tc>
          <w:tcPr>
            <w:tcW w:w="2547" w:type="dxa"/>
          </w:tcPr>
          <w:p w14:paraId="4EEBB0CB" w14:textId="77777777" w:rsidR="00CB4A00" w:rsidRDefault="00CB4A00" w:rsidP="00C66961">
            <w:pPr>
              <w:jc w:val="both"/>
              <w:rPr>
                <w:rFonts w:cs="Arial"/>
                <w:sz w:val="18"/>
                <w:szCs w:val="18"/>
                <w:lang w:eastAsia="cs-CZ"/>
              </w:rPr>
            </w:pPr>
            <w:r w:rsidRPr="008A0562">
              <w:rPr>
                <w:rFonts w:cs="Arial"/>
                <w:sz w:val="18"/>
                <w:szCs w:val="18"/>
                <w:lang w:eastAsia="cs-CZ"/>
              </w:rPr>
              <w:t xml:space="preserve">Cílem je využít infrastruktury národní kulturní památky v Dolní oblasti Vítkovice (Vysoké pece 4 a 6) v Ostravě pro realizaci unikátního výstavního </w:t>
            </w:r>
            <w:r w:rsidRPr="008A0562">
              <w:rPr>
                <w:rFonts w:cs="Arial"/>
                <w:sz w:val="18"/>
                <w:szCs w:val="18"/>
                <w:lang w:eastAsia="cs-CZ"/>
              </w:rPr>
              <w:lastRenderedPageBreak/>
              <w:t>prostoru a zpřístupnění sbírek národních a mezinárodních muzejních institucí a významně tak přispět k transformaci regionu. Tím by došlo k posílení metropolitní image Ostravy, zajištění dlouhodobého fungování této infrastruktury. Základní expozice by byly zaměřeny na přírodní vědy, společenské vědy a umění. Tato infrastruktura by umožnila v Ostravě prezentovat vysoce kvalitní exponáty z národních i mezinárodních sbírek a zásadním způsobem zkvalitnit vzdělávání dětí, žáků a studentů z MSK. V dubnu 2021 byla založena příspěvkové organizace Ministerstva kultury ČR MUSEum+ v Ostravě.</w:t>
            </w:r>
          </w:p>
        </w:tc>
        <w:tc>
          <w:tcPr>
            <w:tcW w:w="1001" w:type="dxa"/>
          </w:tcPr>
          <w:p w14:paraId="42EA3283" w14:textId="77777777" w:rsidR="00CB4A00" w:rsidRDefault="00CB4A00" w:rsidP="00C66961">
            <w:pPr>
              <w:jc w:val="both"/>
              <w:rPr>
                <w:rFonts w:cs="Arial"/>
                <w:sz w:val="18"/>
                <w:szCs w:val="18"/>
                <w:lang w:eastAsia="cs-CZ"/>
              </w:rPr>
            </w:pPr>
            <w:r w:rsidRPr="008A0562">
              <w:rPr>
                <w:rFonts w:cs="Arial"/>
                <w:sz w:val="18"/>
                <w:szCs w:val="18"/>
                <w:lang w:eastAsia="cs-CZ"/>
              </w:rPr>
              <w:lastRenderedPageBreak/>
              <w:t xml:space="preserve">1,9 mld. Kč </w:t>
            </w:r>
            <w:r>
              <w:rPr>
                <w:rFonts w:cs="Arial"/>
                <w:sz w:val="18"/>
                <w:szCs w:val="18"/>
                <w:lang w:eastAsia="cs-CZ"/>
              </w:rPr>
              <w:br/>
            </w:r>
            <w:r w:rsidRPr="008A0562">
              <w:rPr>
                <w:rFonts w:cs="Arial"/>
                <w:sz w:val="18"/>
                <w:szCs w:val="18"/>
                <w:lang w:eastAsia="cs-CZ"/>
              </w:rPr>
              <w:t xml:space="preserve">(do 2028)             </w:t>
            </w:r>
          </w:p>
        </w:tc>
        <w:tc>
          <w:tcPr>
            <w:tcW w:w="1692" w:type="dxa"/>
            <w:gridSpan w:val="2"/>
          </w:tcPr>
          <w:p w14:paraId="2DA0B278" w14:textId="77777777" w:rsidR="00CB4A00" w:rsidRDefault="00CB4A00" w:rsidP="00C66961">
            <w:pPr>
              <w:jc w:val="both"/>
              <w:rPr>
                <w:rFonts w:cs="Arial"/>
                <w:sz w:val="18"/>
                <w:szCs w:val="18"/>
                <w:lang w:eastAsia="cs-CZ"/>
              </w:rPr>
            </w:pPr>
            <w:r w:rsidRPr="008A0562">
              <w:rPr>
                <w:rFonts w:cs="Arial"/>
                <w:sz w:val="18"/>
                <w:szCs w:val="18"/>
                <w:lang w:eastAsia="cs-CZ"/>
              </w:rPr>
              <w:t xml:space="preserve">Předběžně MK, na vybavení případně fondy EU - 2021+ (IROP), Jedná se o potencionální investici státu, </w:t>
            </w:r>
            <w:r w:rsidRPr="008A0562">
              <w:rPr>
                <w:rFonts w:cs="Arial"/>
                <w:sz w:val="18"/>
                <w:szCs w:val="18"/>
                <w:lang w:eastAsia="cs-CZ"/>
              </w:rPr>
              <w:lastRenderedPageBreak/>
              <w:t>resp. MK ČR v koordinaci s MSK, SMO, DOV, MŽP, MPO, OP ST</w:t>
            </w:r>
            <w:r>
              <w:rPr>
                <w:rFonts w:cs="Arial"/>
                <w:sz w:val="18"/>
                <w:szCs w:val="18"/>
                <w:lang w:eastAsia="cs-CZ"/>
              </w:rPr>
              <w:t xml:space="preserve">. </w:t>
            </w:r>
          </w:p>
        </w:tc>
        <w:tc>
          <w:tcPr>
            <w:tcW w:w="2748" w:type="dxa"/>
            <w:gridSpan w:val="2"/>
          </w:tcPr>
          <w:p w14:paraId="08EB6822" w14:textId="77777777" w:rsidR="00CB4A00" w:rsidRDefault="00CB4A00" w:rsidP="00C66961">
            <w:pPr>
              <w:jc w:val="both"/>
              <w:rPr>
                <w:rFonts w:cs="Arial"/>
                <w:sz w:val="18"/>
                <w:szCs w:val="18"/>
                <w:lang w:eastAsia="cs-CZ"/>
              </w:rPr>
            </w:pPr>
            <w:r w:rsidRPr="008A0562">
              <w:rPr>
                <w:rFonts w:cs="Arial"/>
                <w:sz w:val="18"/>
                <w:szCs w:val="18"/>
                <w:lang w:eastAsia="cs-CZ"/>
              </w:rPr>
              <w:lastRenderedPageBreak/>
              <w:t xml:space="preserve">Výstavba tohoto charakteru může významně pomoci zkvalitnění image uhelných regionů a rozvoj turistického potenciálu uhelného regionu, které budou mít dopad na </w:t>
            </w:r>
            <w:r w:rsidRPr="008A0562">
              <w:rPr>
                <w:rFonts w:cs="Arial"/>
                <w:sz w:val="18"/>
                <w:szCs w:val="18"/>
                <w:lang w:eastAsia="cs-CZ"/>
              </w:rPr>
              <w:lastRenderedPageBreak/>
              <w:t>generování vedlejších pozitivních synergických restrukturalizačních efektů a potenciálu pro další hospodářský a sociální rozvoj území. Výstavba další atraktivity v areálu DOV bude mít také vliv na turistickou návštěvnost celého areálu a potažmo kraje. Hlavním cílem je k transformaci regionu využít inovace skrze kulturu a nové formy vzdělávání, které Muzeum+ nabídne.</w:t>
            </w:r>
          </w:p>
        </w:tc>
        <w:tc>
          <w:tcPr>
            <w:tcW w:w="2163" w:type="dxa"/>
          </w:tcPr>
          <w:p w14:paraId="4A069F37" w14:textId="77777777" w:rsidR="00CB4A00" w:rsidRDefault="00CB4A00" w:rsidP="00C66961">
            <w:pPr>
              <w:jc w:val="both"/>
              <w:rPr>
                <w:rFonts w:cs="Arial"/>
                <w:sz w:val="18"/>
                <w:szCs w:val="18"/>
                <w:lang w:eastAsia="cs-CZ"/>
              </w:rPr>
            </w:pPr>
            <w:r w:rsidRPr="008A0562">
              <w:rPr>
                <w:rFonts w:cs="Arial"/>
                <w:sz w:val="18"/>
                <w:szCs w:val="18"/>
                <w:lang w:eastAsia="cs-CZ"/>
              </w:rPr>
              <w:lastRenderedPageBreak/>
              <w:t xml:space="preserve">Zkvalitnění života území ve strukturálně postižených regionech, zamezení odchodu obyvatel z území, změna image kraje </w:t>
            </w:r>
            <w:r w:rsidRPr="008A0562">
              <w:rPr>
                <w:rFonts w:cs="Arial"/>
                <w:sz w:val="18"/>
                <w:szCs w:val="18"/>
                <w:lang w:eastAsia="cs-CZ"/>
              </w:rPr>
              <w:lastRenderedPageBreak/>
              <w:t>(černý region), příliv turistů</w:t>
            </w:r>
            <w:r>
              <w:rPr>
                <w:rFonts w:cs="Arial"/>
                <w:sz w:val="18"/>
                <w:szCs w:val="18"/>
                <w:lang w:eastAsia="cs-CZ"/>
              </w:rPr>
              <w:t>.</w:t>
            </w:r>
          </w:p>
          <w:p w14:paraId="7B16EA07" w14:textId="77777777" w:rsidR="00CB4A00" w:rsidRPr="008A0562" w:rsidRDefault="00CB4A00" w:rsidP="00C66961">
            <w:pPr>
              <w:rPr>
                <w:rFonts w:cs="Arial"/>
                <w:sz w:val="18"/>
                <w:szCs w:val="18"/>
                <w:lang w:eastAsia="cs-CZ"/>
              </w:rPr>
            </w:pPr>
          </w:p>
        </w:tc>
        <w:tc>
          <w:tcPr>
            <w:tcW w:w="2406" w:type="dxa"/>
          </w:tcPr>
          <w:p w14:paraId="391D01B5" w14:textId="77777777" w:rsidR="00CB4A00" w:rsidRDefault="00CB4A00" w:rsidP="00C66961">
            <w:pPr>
              <w:jc w:val="both"/>
              <w:rPr>
                <w:rFonts w:cs="Arial"/>
                <w:sz w:val="18"/>
                <w:szCs w:val="18"/>
                <w:lang w:eastAsia="cs-CZ"/>
              </w:rPr>
            </w:pPr>
            <w:r w:rsidRPr="008A0562">
              <w:rPr>
                <w:rFonts w:cs="Arial"/>
                <w:sz w:val="18"/>
                <w:szCs w:val="18"/>
                <w:lang w:eastAsia="cs-CZ"/>
              </w:rPr>
              <w:lastRenderedPageBreak/>
              <w:t>Cílové skupiny – studenti, obyvatelé regionu, turisté, vědečtí pracovníci</w:t>
            </w:r>
            <w:r>
              <w:rPr>
                <w:rFonts w:cs="Arial"/>
                <w:sz w:val="18"/>
                <w:szCs w:val="18"/>
                <w:lang w:eastAsia="cs-CZ"/>
              </w:rPr>
              <w:t xml:space="preserve">. </w:t>
            </w:r>
          </w:p>
        </w:tc>
        <w:tc>
          <w:tcPr>
            <w:tcW w:w="1482" w:type="dxa"/>
            <w:vAlign w:val="center"/>
          </w:tcPr>
          <w:p w14:paraId="28D75DA3" w14:textId="77777777" w:rsidR="00CB4A00" w:rsidRDefault="00CB4A00" w:rsidP="00C66961">
            <w:pPr>
              <w:jc w:val="center"/>
              <w:rPr>
                <w:rFonts w:cs="Arial"/>
                <w:sz w:val="18"/>
                <w:szCs w:val="18"/>
                <w:lang w:eastAsia="cs-CZ"/>
              </w:rPr>
            </w:pPr>
            <w:proofErr w:type="gramStart"/>
            <w:r w:rsidRPr="005C6422">
              <w:rPr>
                <w:rFonts w:eastAsia="Arial" w:cs="Arial"/>
                <w:color w:val="000000" w:themeColor="text1"/>
                <w:sz w:val="18"/>
                <w:szCs w:val="18"/>
              </w:rPr>
              <w:t>MUSeum</w:t>
            </w:r>
            <w:proofErr w:type="gramEnd"/>
            <w:r w:rsidRPr="005C6422">
              <w:rPr>
                <w:rFonts w:eastAsia="Arial" w:cs="Arial"/>
                <w:color w:val="000000" w:themeColor="text1"/>
                <w:sz w:val="18"/>
                <w:szCs w:val="18"/>
              </w:rPr>
              <w:t>+</w:t>
            </w:r>
          </w:p>
        </w:tc>
      </w:tr>
      <w:tr w:rsidR="00CB4A00" w14:paraId="13561FA2" w14:textId="77777777" w:rsidTr="00C66961">
        <w:trPr>
          <w:jc w:val="center"/>
        </w:trPr>
        <w:tc>
          <w:tcPr>
            <w:tcW w:w="14039" w:type="dxa"/>
            <w:gridSpan w:val="9"/>
            <w:shd w:val="clear" w:color="auto" w:fill="D9E2F3" w:themeFill="accent5" w:themeFillTint="33"/>
          </w:tcPr>
          <w:p w14:paraId="7318A3F0" w14:textId="77777777" w:rsidR="00CB4A00" w:rsidRPr="006F2B93" w:rsidRDefault="00CB4A00" w:rsidP="002E4092">
            <w:pPr>
              <w:pStyle w:val="Odstavecseseznamem"/>
              <w:numPr>
                <w:ilvl w:val="0"/>
                <w:numId w:val="10"/>
              </w:numPr>
              <w:jc w:val="center"/>
              <w:rPr>
                <w:rFonts w:cs="Arial"/>
                <w:b/>
                <w:bCs/>
                <w:sz w:val="18"/>
                <w:szCs w:val="18"/>
                <w:lang w:eastAsia="cs-CZ"/>
              </w:rPr>
            </w:pPr>
            <w:r w:rsidRPr="006F2B93">
              <w:rPr>
                <w:rFonts w:eastAsia="Arial" w:cs="Arial"/>
                <w:b/>
                <w:bCs/>
                <w:sz w:val="18"/>
                <w:szCs w:val="18"/>
              </w:rPr>
              <w:t>Vysokorychlostní datová síť MS kraje</w:t>
            </w:r>
          </w:p>
        </w:tc>
      </w:tr>
      <w:tr w:rsidR="00CB4A00" w14:paraId="709FCD71" w14:textId="77777777" w:rsidTr="00C66961">
        <w:trPr>
          <w:jc w:val="center"/>
        </w:trPr>
        <w:tc>
          <w:tcPr>
            <w:tcW w:w="2547" w:type="dxa"/>
          </w:tcPr>
          <w:p w14:paraId="6A083DA0" w14:textId="77777777" w:rsidR="00CB4A00" w:rsidRDefault="00CB4A00" w:rsidP="00C66961">
            <w:pPr>
              <w:jc w:val="both"/>
              <w:rPr>
                <w:rFonts w:cs="Arial"/>
                <w:sz w:val="18"/>
                <w:szCs w:val="18"/>
                <w:lang w:eastAsia="cs-CZ"/>
              </w:rPr>
            </w:pPr>
            <w:r w:rsidRPr="008B0647">
              <w:rPr>
                <w:rFonts w:cs="Arial"/>
                <w:sz w:val="18"/>
                <w:szCs w:val="18"/>
                <w:lang w:eastAsia="cs-CZ"/>
              </w:rPr>
              <w:t xml:space="preserve">Cílem projektu propojit organizace Moravskoslezského kraje vysokorychlostní optickou datovou sítí napříč celým krajem (nemocnice, dopravní dispečinky, složky integrovaného záchranného systému, střední školy, sociální zařízení atd.), připravit veřejné bezdrátové připojení v krajských objektech a dopravních </w:t>
            </w:r>
            <w:r w:rsidRPr="008B0647">
              <w:rPr>
                <w:rFonts w:cs="Arial"/>
                <w:sz w:val="18"/>
                <w:szCs w:val="18"/>
                <w:lang w:eastAsia="cs-CZ"/>
              </w:rPr>
              <w:lastRenderedPageBreak/>
              <w:t>prostředcích, využít kapacit superpočítače IT4I na bázi sdílených služeb optimalizovat práci s daty a aplikacemi napříč celou veřejnou korporací. Vytvoření sítě zahrnující v první etapě 65 budov a 7 příspěvkových organizací, do budoucna s rozšířením na všech 625 lokalit a 225 organizací. Využít kapacit na bázi sdílených služeb, optimalizovat práci s daty a aplikacemi napříč celou veřejnou sférou. Síť bude základem rovněž pro veřejně dostupné bezdrátové připojení ve všech krajských budovách a bude navazovat na paralelně budovanou datovou síť v regionálních autobusech a vlacích. Projekt navazuje na ostatní podobné akce a korporátní řízení krajských organizací.</w:t>
            </w:r>
          </w:p>
        </w:tc>
        <w:tc>
          <w:tcPr>
            <w:tcW w:w="1001" w:type="dxa"/>
          </w:tcPr>
          <w:p w14:paraId="593110AB" w14:textId="77777777" w:rsidR="00CB4A00" w:rsidRDefault="00CB4A00" w:rsidP="00C66961">
            <w:pPr>
              <w:jc w:val="both"/>
              <w:rPr>
                <w:rFonts w:cs="Arial"/>
                <w:sz w:val="18"/>
                <w:szCs w:val="18"/>
                <w:lang w:eastAsia="cs-CZ"/>
              </w:rPr>
            </w:pPr>
            <w:r w:rsidRPr="008B0647">
              <w:rPr>
                <w:rFonts w:cs="Arial"/>
                <w:sz w:val="18"/>
                <w:szCs w:val="18"/>
                <w:lang w:eastAsia="cs-CZ"/>
              </w:rPr>
              <w:lastRenderedPageBreak/>
              <w:t>II. Etapa, 100 mil. Kč</w:t>
            </w:r>
          </w:p>
        </w:tc>
        <w:tc>
          <w:tcPr>
            <w:tcW w:w="1692" w:type="dxa"/>
            <w:gridSpan w:val="2"/>
          </w:tcPr>
          <w:p w14:paraId="4A595F64" w14:textId="3F21F8EB" w:rsidR="00CB4A00" w:rsidRDefault="00707731" w:rsidP="00C66961">
            <w:pPr>
              <w:jc w:val="both"/>
              <w:rPr>
                <w:rFonts w:cs="Arial"/>
                <w:sz w:val="18"/>
                <w:szCs w:val="18"/>
                <w:lang w:eastAsia="cs-CZ"/>
              </w:rPr>
            </w:pPr>
            <w:r>
              <w:rPr>
                <w:rFonts w:cs="Arial"/>
                <w:sz w:val="18"/>
                <w:szCs w:val="18"/>
                <w:lang w:eastAsia="cs-CZ"/>
              </w:rPr>
              <w:t xml:space="preserve">OPST, </w:t>
            </w:r>
            <w:r w:rsidRPr="00D16024">
              <w:rPr>
                <w:rFonts w:cs="Arial"/>
                <w:sz w:val="18"/>
                <w:szCs w:val="18"/>
                <w:lang w:eastAsia="cs-CZ"/>
              </w:rPr>
              <w:t>Fondy EU (</w:t>
            </w:r>
            <w:r>
              <w:rPr>
                <w:rFonts w:cs="Arial"/>
                <w:sz w:val="18"/>
                <w:szCs w:val="18"/>
                <w:lang w:eastAsia="cs-CZ"/>
              </w:rPr>
              <w:t xml:space="preserve"> - </w:t>
            </w:r>
            <w:r w:rsidR="00CB4A00" w:rsidRPr="008B0647">
              <w:rPr>
                <w:rFonts w:cs="Arial"/>
                <w:sz w:val="18"/>
                <w:szCs w:val="18"/>
                <w:lang w:eastAsia="cs-CZ"/>
              </w:rPr>
              <w:t xml:space="preserve">OP TAK, OP </w:t>
            </w:r>
            <w:proofErr w:type="gramStart"/>
            <w:r w:rsidR="00CB4A00" w:rsidRPr="008B0647">
              <w:rPr>
                <w:rFonts w:cs="Arial"/>
                <w:sz w:val="18"/>
                <w:szCs w:val="18"/>
                <w:lang w:eastAsia="cs-CZ"/>
              </w:rPr>
              <w:t>JAK - v</w:t>
            </w:r>
            <w:proofErr w:type="gramEnd"/>
            <w:r w:rsidR="00CB4A00" w:rsidRPr="008B0647">
              <w:rPr>
                <w:rFonts w:cs="Arial"/>
                <w:sz w:val="18"/>
                <w:szCs w:val="18"/>
                <w:lang w:eastAsia="cs-CZ"/>
              </w:rPr>
              <w:t xml:space="preserve"> závislosti na podmínkách a nastavení programu, IROP, NPO). První etapa VDS podpořena z IROP pro další části se budou hledat možnosti v IROP+ a NPO</w:t>
            </w:r>
          </w:p>
        </w:tc>
        <w:tc>
          <w:tcPr>
            <w:tcW w:w="2748" w:type="dxa"/>
            <w:gridSpan w:val="2"/>
          </w:tcPr>
          <w:p w14:paraId="61AD4F0D" w14:textId="77777777" w:rsidR="00CB4A00" w:rsidRDefault="00CB4A00" w:rsidP="00C66961">
            <w:pPr>
              <w:jc w:val="both"/>
              <w:rPr>
                <w:rFonts w:cs="Arial"/>
                <w:sz w:val="18"/>
                <w:szCs w:val="18"/>
                <w:lang w:eastAsia="cs-CZ"/>
              </w:rPr>
            </w:pPr>
            <w:r w:rsidRPr="008B0647">
              <w:rPr>
                <w:rFonts w:cs="Arial"/>
                <w:sz w:val="18"/>
                <w:szCs w:val="18"/>
                <w:lang w:eastAsia="cs-CZ"/>
              </w:rPr>
              <w:t xml:space="preserve">Územní veřejná správa prochází změnami, které jsou zaměřeny na posílení institucionální kapacity a zvýšení efektivity, které mají vliv na podnikatelské prostředí a klima ve městě či regionu. Intenzivní rozvoj ICT rovněž přináší nové příležitosti a nalézání nových chytrých technologií s využitím nových technologických možností s cílem zvýšit kvalitu života a </w:t>
            </w:r>
            <w:r w:rsidRPr="008B0647">
              <w:rPr>
                <w:rFonts w:cs="Arial"/>
                <w:sz w:val="18"/>
                <w:szCs w:val="18"/>
                <w:lang w:eastAsia="cs-CZ"/>
              </w:rPr>
              <w:lastRenderedPageBreak/>
              <w:t>služeb veřejné správy. Koncept smart citites, regions také umožňuje sběr a následné poskytování tzv. otevřených dat, které jsou potřebné pro podnikatele či výzkumné a vývojové společnosti.</w:t>
            </w:r>
          </w:p>
        </w:tc>
        <w:tc>
          <w:tcPr>
            <w:tcW w:w="2163" w:type="dxa"/>
          </w:tcPr>
          <w:p w14:paraId="50BE89C0" w14:textId="77777777" w:rsidR="00CB4A00" w:rsidRPr="00265468" w:rsidRDefault="00CB4A00" w:rsidP="00C66961">
            <w:pPr>
              <w:jc w:val="both"/>
              <w:rPr>
                <w:rFonts w:cs="Arial"/>
                <w:sz w:val="18"/>
                <w:szCs w:val="18"/>
                <w:lang w:eastAsia="cs-CZ"/>
              </w:rPr>
            </w:pPr>
            <w:r w:rsidRPr="008B0647">
              <w:rPr>
                <w:rFonts w:cs="Arial"/>
                <w:sz w:val="18"/>
                <w:szCs w:val="18"/>
                <w:lang w:eastAsia="cs-CZ"/>
              </w:rPr>
              <w:lastRenderedPageBreak/>
              <w:t xml:space="preserve">Zefektivnění veřejné </w:t>
            </w:r>
            <w:proofErr w:type="gramStart"/>
            <w:r w:rsidRPr="008B0647">
              <w:rPr>
                <w:rFonts w:cs="Arial"/>
                <w:sz w:val="18"/>
                <w:szCs w:val="18"/>
                <w:lang w:eastAsia="cs-CZ"/>
              </w:rPr>
              <w:t>zprávy</w:t>
            </w:r>
            <w:proofErr w:type="gramEnd"/>
            <w:r w:rsidRPr="008B0647">
              <w:rPr>
                <w:rFonts w:cs="Arial"/>
                <w:sz w:val="18"/>
                <w:szCs w:val="18"/>
                <w:lang w:eastAsia="cs-CZ"/>
              </w:rPr>
              <w:t xml:space="preserve">, odstranění bariér a zjednodušení procesů v agendách úřadů, vytváření prostoru pro inovace díky otevřenosti a poskytování otevřených dat, vytváření prostoru pro aplikování chytrých řešení ve městech a krajích, na nichž se mohou realizovat </w:t>
            </w:r>
            <w:r w:rsidRPr="008B0647">
              <w:rPr>
                <w:rFonts w:cs="Arial"/>
                <w:sz w:val="18"/>
                <w:szCs w:val="18"/>
                <w:lang w:eastAsia="cs-CZ"/>
              </w:rPr>
              <w:lastRenderedPageBreak/>
              <w:t>začínající i zavedené podniky z regionu, změna klimatu a prostředí pro podnikání, kybernetická bezpečnost</w:t>
            </w:r>
            <w:r>
              <w:rPr>
                <w:rFonts w:cs="Arial"/>
                <w:sz w:val="18"/>
                <w:szCs w:val="18"/>
                <w:lang w:eastAsia="cs-CZ"/>
              </w:rPr>
              <w:t>.</w:t>
            </w:r>
          </w:p>
        </w:tc>
        <w:tc>
          <w:tcPr>
            <w:tcW w:w="2406" w:type="dxa"/>
          </w:tcPr>
          <w:p w14:paraId="38B77766" w14:textId="77777777" w:rsidR="00CB4A00" w:rsidRDefault="00CB4A00" w:rsidP="00C66961">
            <w:pPr>
              <w:jc w:val="both"/>
              <w:rPr>
                <w:rFonts w:cs="Arial"/>
                <w:sz w:val="18"/>
                <w:szCs w:val="18"/>
                <w:lang w:eastAsia="cs-CZ"/>
              </w:rPr>
            </w:pPr>
            <w:r w:rsidRPr="008B0647">
              <w:rPr>
                <w:rFonts w:cs="Arial"/>
                <w:sz w:val="18"/>
                <w:szCs w:val="18"/>
                <w:lang w:eastAsia="cs-CZ"/>
              </w:rPr>
              <w:lastRenderedPageBreak/>
              <w:t>Cílově skupiny – krajské organizace, IZS</w:t>
            </w:r>
          </w:p>
          <w:p w14:paraId="716C4610" w14:textId="77777777" w:rsidR="00CB4A00" w:rsidRPr="008B0647" w:rsidRDefault="00CB4A00" w:rsidP="00C66961">
            <w:pPr>
              <w:jc w:val="center"/>
              <w:rPr>
                <w:rFonts w:cs="Arial"/>
                <w:sz w:val="18"/>
                <w:szCs w:val="18"/>
                <w:lang w:eastAsia="cs-CZ"/>
              </w:rPr>
            </w:pPr>
          </w:p>
        </w:tc>
        <w:tc>
          <w:tcPr>
            <w:tcW w:w="1482" w:type="dxa"/>
            <w:vAlign w:val="center"/>
          </w:tcPr>
          <w:p w14:paraId="61C8D4FD"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3EE89277" w14:textId="77777777" w:rsidTr="00C66961">
        <w:trPr>
          <w:jc w:val="center"/>
        </w:trPr>
        <w:tc>
          <w:tcPr>
            <w:tcW w:w="14039" w:type="dxa"/>
            <w:gridSpan w:val="9"/>
            <w:shd w:val="clear" w:color="auto" w:fill="D9E2F3" w:themeFill="accent5" w:themeFillTint="33"/>
          </w:tcPr>
          <w:p w14:paraId="3D995898" w14:textId="77777777" w:rsidR="00CB4A00" w:rsidRPr="008B0647" w:rsidRDefault="00CB4A00" w:rsidP="002E4092">
            <w:pPr>
              <w:pStyle w:val="Odstavecseseznamem"/>
              <w:numPr>
                <w:ilvl w:val="0"/>
                <w:numId w:val="10"/>
              </w:numPr>
              <w:jc w:val="center"/>
              <w:rPr>
                <w:rFonts w:cs="Arial"/>
                <w:b/>
                <w:bCs/>
                <w:sz w:val="18"/>
                <w:szCs w:val="18"/>
                <w:lang w:eastAsia="cs-CZ"/>
              </w:rPr>
            </w:pPr>
            <w:r w:rsidRPr="008B0647">
              <w:rPr>
                <w:rFonts w:cs="Arial"/>
                <w:b/>
                <w:bCs/>
                <w:sz w:val="18"/>
                <w:szCs w:val="18"/>
                <w:lang w:eastAsia="cs-CZ"/>
              </w:rPr>
              <w:t>Turistické využití Beskyd a Jeseníků</w:t>
            </w:r>
          </w:p>
        </w:tc>
      </w:tr>
      <w:tr w:rsidR="00CB4A00" w14:paraId="7390D396" w14:textId="77777777" w:rsidTr="00C66961">
        <w:trPr>
          <w:jc w:val="center"/>
        </w:trPr>
        <w:tc>
          <w:tcPr>
            <w:tcW w:w="2547" w:type="dxa"/>
          </w:tcPr>
          <w:p w14:paraId="7B47B180" w14:textId="77777777" w:rsidR="00CB4A00" w:rsidRPr="008B0647" w:rsidRDefault="00CB4A00" w:rsidP="00C66961">
            <w:pPr>
              <w:jc w:val="both"/>
              <w:rPr>
                <w:rFonts w:cs="Arial"/>
                <w:sz w:val="18"/>
                <w:szCs w:val="18"/>
                <w:lang w:eastAsia="cs-CZ"/>
              </w:rPr>
            </w:pPr>
            <w:r w:rsidRPr="008B0647">
              <w:rPr>
                <w:rFonts w:cs="Arial"/>
                <w:sz w:val="18"/>
                <w:szCs w:val="18"/>
                <w:lang w:eastAsia="cs-CZ"/>
              </w:rPr>
              <w:t xml:space="preserve">Beskydy a Jeseníky představují spolu s podhorskými obcemi nacházejícími se na jejich území atraktivní rekreační oblast s potenciálem oslovit velké množství návštěvníků, která bude sloužit jako oddychová oblast lidem ze znečištěných území. Projekt předpokládá využití několika brownfieldů, včetně důlního </w:t>
            </w:r>
            <w:r w:rsidRPr="008B0647">
              <w:rPr>
                <w:rFonts w:cs="Arial"/>
                <w:sz w:val="18"/>
                <w:szCs w:val="18"/>
                <w:lang w:eastAsia="cs-CZ"/>
              </w:rPr>
              <w:lastRenderedPageBreak/>
              <w:t xml:space="preserve">díla Frenštát. Motto projektu je “Na víkend do hor, místo do obchodního centra”. V uplynulém období byla v našem kraji značná část prostředků směřována do vybudování a rekonstrukcí ubytovacích kapacit. Současně však zatím nebylo vybudováno dostatečné množství atrakcí a aktivit, které by zvýšily návštěvnost. Absenci evropských zdrojů zatím nenahradily národní zdroje, které obsahují pouze zanedbatelné množství finančních prostředků, které neumožňují realizaci větších strategických projektů. </w:t>
            </w:r>
          </w:p>
          <w:p w14:paraId="08716647" w14:textId="77777777" w:rsidR="00CB4A00" w:rsidRPr="008B0647" w:rsidRDefault="00CB4A00" w:rsidP="00C66961">
            <w:pPr>
              <w:jc w:val="both"/>
              <w:rPr>
                <w:rFonts w:cs="Arial"/>
                <w:sz w:val="18"/>
                <w:szCs w:val="18"/>
                <w:lang w:eastAsia="cs-CZ"/>
              </w:rPr>
            </w:pPr>
            <w:r w:rsidRPr="008B0647">
              <w:rPr>
                <w:rFonts w:cs="Arial"/>
                <w:sz w:val="18"/>
                <w:szCs w:val="18"/>
                <w:lang w:eastAsia="cs-CZ"/>
              </w:rPr>
              <w:t xml:space="preserve"> </w:t>
            </w:r>
          </w:p>
          <w:p w14:paraId="016D5F21" w14:textId="77777777" w:rsidR="00CB4A00" w:rsidRPr="008B0647" w:rsidRDefault="00CB4A00" w:rsidP="00C66961">
            <w:pPr>
              <w:jc w:val="both"/>
              <w:rPr>
                <w:rFonts w:cs="Arial"/>
                <w:sz w:val="18"/>
                <w:szCs w:val="18"/>
                <w:lang w:eastAsia="cs-CZ"/>
              </w:rPr>
            </w:pPr>
            <w:r w:rsidRPr="008B0647">
              <w:rPr>
                <w:rFonts w:cs="Arial"/>
                <w:b/>
                <w:bCs/>
                <w:sz w:val="18"/>
                <w:szCs w:val="18"/>
                <w:lang w:eastAsia="cs-CZ"/>
              </w:rPr>
              <w:t>1) Vybudování nové kabinové lanovky na Pustevny</w:t>
            </w:r>
            <w:r w:rsidRPr="008B0647">
              <w:rPr>
                <w:rFonts w:cs="Arial"/>
                <w:sz w:val="18"/>
                <w:szCs w:val="18"/>
                <w:lang w:eastAsia="cs-CZ"/>
              </w:rPr>
              <w:t xml:space="preserve"> (150 mil. Kč)</w:t>
            </w:r>
          </w:p>
          <w:p w14:paraId="5BE72457" w14:textId="77777777" w:rsidR="00CB4A00" w:rsidRPr="008B0647" w:rsidRDefault="00CB4A00" w:rsidP="00C66961">
            <w:pPr>
              <w:jc w:val="both"/>
              <w:rPr>
                <w:rFonts w:cs="Arial"/>
                <w:sz w:val="18"/>
                <w:szCs w:val="18"/>
                <w:lang w:eastAsia="cs-CZ"/>
              </w:rPr>
            </w:pPr>
            <w:r w:rsidRPr="008B0647">
              <w:rPr>
                <w:rFonts w:cs="Arial"/>
                <w:b/>
                <w:bCs/>
                <w:sz w:val="18"/>
                <w:szCs w:val="18"/>
                <w:lang w:eastAsia="cs-CZ"/>
              </w:rPr>
              <w:t>2) Wood arena v Ostravici</w:t>
            </w:r>
            <w:r w:rsidRPr="008B0647">
              <w:rPr>
                <w:rFonts w:cs="Arial"/>
                <w:sz w:val="18"/>
                <w:szCs w:val="18"/>
                <w:lang w:eastAsia="cs-CZ"/>
              </w:rPr>
              <w:t xml:space="preserve"> – dlouhodobější projekt</w:t>
            </w:r>
          </w:p>
          <w:p w14:paraId="4D6A1604" w14:textId="77777777" w:rsidR="00CB4A00" w:rsidRDefault="00CB4A00" w:rsidP="00C66961">
            <w:pPr>
              <w:jc w:val="both"/>
              <w:rPr>
                <w:rFonts w:cs="Arial"/>
                <w:sz w:val="18"/>
                <w:szCs w:val="18"/>
                <w:lang w:eastAsia="cs-CZ"/>
              </w:rPr>
            </w:pPr>
            <w:r w:rsidRPr="008B0647">
              <w:rPr>
                <w:rFonts w:cs="Arial"/>
                <w:sz w:val="18"/>
                <w:szCs w:val="18"/>
                <w:lang w:eastAsia="cs-CZ"/>
              </w:rPr>
              <w:t xml:space="preserve">   (50 mil. Kč, 1. fáze) </w:t>
            </w:r>
          </w:p>
          <w:p w14:paraId="79DB78C8" w14:textId="77777777" w:rsidR="00CB4A00" w:rsidRDefault="00CB4A00" w:rsidP="00C66961">
            <w:pPr>
              <w:jc w:val="both"/>
              <w:rPr>
                <w:rFonts w:cs="Arial"/>
                <w:sz w:val="18"/>
                <w:szCs w:val="18"/>
                <w:lang w:eastAsia="cs-CZ"/>
              </w:rPr>
            </w:pPr>
            <w:r w:rsidRPr="008B0647">
              <w:rPr>
                <w:rFonts w:cs="Arial"/>
                <w:b/>
                <w:bCs/>
                <w:sz w:val="18"/>
                <w:szCs w:val="18"/>
                <w:lang w:eastAsia="cs-CZ"/>
              </w:rPr>
              <w:t>3) Skokanský areál Jiřího Rašky</w:t>
            </w:r>
            <w:r w:rsidRPr="008B0647">
              <w:rPr>
                <w:rFonts w:cs="Arial"/>
                <w:sz w:val="18"/>
                <w:szCs w:val="18"/>
                <w:lang w:eastAsia="cs-CZ"/>
              </w:rPr>
              <w:t xml:space="preserve"> ve Frenštátu pod Radhoštěm (500 mil. Kč</w:t>
            </w:r>
          </w:p>
        </w:tc>
        <w:tc>
          <w:tcPr>
            <w:tcW w:w="1001" w:type="dxa"/>
          </w:tcPr>
          <w:p w14:paraId="73B58EFC" w14:textId="1557252B" w:rsidR="00CB4A00" w:rsidRDefault="00CB4A00" w:rsidP="00614FFD">
            <w:pPr>
              <w:jc w:val="both"/>
              <w:rPr>
                <w:rFonts w:cs="Arial"/>
                <w:sz w:val="18"/>
                <w:szCs w:val="18"/>
                <w:lang w:eastAsia="cs-CZ"/>
              </w:rPr>
            </w:pPr>
            <w:r w:rsidRPr="008B0647">
              <w:rPr>
                <w:rFonts w:cs="Arial"/>
                <w:sz w:val="18"/>
                <w:szCs w:val="18"/>
                <w:lang w:eastAsia="cs-CZ"/>
              </w:rPr>
              <w:lastRenderedPageBreak/>
              <w:t>0.7 m</w:t>
            </w:r>
            <w:r w:rsidR="00614FFD">
              <w:rPr>
                <w:rFonts w:cs="Arial"/>
                <w:sz w:val="18"/>
                <w:szCs w:val="18"/>
                <w:lang w:eastAsia="cs-CZ"/>
              </w:rPr>
              <w:t>ld</w:t>
            </w:r>
            <w:r w:rsidRPr="008B0647">
              <w:rPr>
                <w:rFonts w:cs="Arial"/>
                <w:sz w:val="18"/>
                <w:szCs w:val="18"/>
                <w:lang w:eastAsia="cs-CZ"/>
              </w:rPr>
              <w:t>. Kč</w:t>
            </w:r>
          </w:p>
        </w:tc>
        <w:tc>
          <w:tcPr>
            <w:tcW w:w="1692" w:type="dxa"/>
            <w:gridSpan w:val="2"/>
          </w:tcPr>
          <w:p w14:paraId="173B3CFB" w14:textId="77777777" w:rsidR="00CB4A00" w:rsidRPr="008B0647" w:rsidRDefault="00CB4A00" w:rsidP="00C66961">
            <w:pPr>
              <w:jc w:val="both"/>
              <w:rPr>
                <w:rFonts w:cs="Arial"/>
                <w:sz w:val="18"/>
                <w:szCs w:val="18"/>
                <w:lang w:eastAsia="cs-CZ"/>
              </w:rPr>
            </w:pPr>
            <w:r w:rsidRPr="008B0647">
              <w:rPr>
                <w:rFonts w:cs="Arial"/>
                <w:sz w:val="18"/>
                <w:szCs w:val="18"/>
                <w:lang w:eastAsia="cs-CZ"/>
              </w:rPr>
              <w:t xml:space="preserve">Přeshraniční spolupráce 2021+, </w:t>
            </w:r>
          </w:p>
          <w:p w14:paraId="569F1E28" w14:textId="77777777" w:rsidR="00CB4A00" w:rsidRDefault="00CB4A00" w:rsidP="00C66961">
            <w:pPr>
              <w:jc w:val="both"/>
              <w:rPr>
                <w:rFonts w:cs="Arial"/>
                <w:sz w:val="18"/>
                <w:szCs w:val="18"/>
                <w:lang w:eastAsia="cs-CZ"/>
              </w:rPr>
            </w:pPr>
            <w:r w:rsidRPr="008B0647">
              <w:rPr>
                <w:rFonts w:cs="Arial"/>
                <w:sz w:val="18"/>
                <w:szCs w:val="18"/>
                <w:lang w:eastAsia="cs-CZ"/>
              </w:rPr>
              <w:t>fondy EU + (IROP, OP TAK), Národní dotační titul pro cestovní ruch ,</w:t>
            </w:r>
          </w:p>
        </w:tc>
        <w:tc>
          <w:tcPr>
            <w:tcW w:w="2748" w:type="dxa"/>
            <w:gridSpan w:val="2"/>
          </w:tcPr>
          <w:p w14:paraId="3154CE7B" w14:textId="77777777" w:rsidR="00CB4A00" w:rsidRDefault="00CB4A00" w:rsidP="00C66961">
            <w:pPr>
              <w:jc w:val="both"/>
              <w:rPr>
                <w:rFonts w:cs="Arial"/>
                <w:sz w:val="18"/>
                <w:szCs w:val="18"/>
                <w:lang w:eastAsia="cs-CZ"/>
              </w:rPr>
            </w:pPr>
            <w:r w:rsidRPr="008B0647">
              <w:rPr>
                <w:rFonts w:cs="Arial"/>
                <w:sz w:val="18"/>
                <w:szCs w:val="18"/>
                <w:lang w:eastAsia="cs-CZ"/>
              </w:rPr>
              <w:t xml:space="preserve">Výstavba tohoto charakteru může významně pomoci zkvalitnění image uhelných regionů a rozvoj turistického potenciálu uhelného regionu, které budou mít dopad na generování vedlejších pozitivních synergických restrukturalizačních efektů a potenciálu pro další hospodářský a sociální rozvoj území.  Příkladem je nárůst </w:t>
            </w:r>
            <w:r w:rsidRPr="008B0647">
              <w:rPr>
                <w:rFonts w:cs="Arial"/>
                <w:sz w:val="18"/>
                <w:szCs w:val="18"/>
                <w:lang w:eastAsia="cs-CZ"/>
              </w:rPr>
              <w:lastRenderedPageBreak/>
              <w:t>patriotismu u obyvatel, díky kterému jsou schopni lépe zvládat krátkodobé krize a problémové období a aktivně se zapojovat do aktivit na podporu rozvoje regionu</w:t>
            </w:r>
          </w:p>
        </w:tc>
        <w:tc>
          <w:tcPr>
            <w:tcW w:w="2163" w:type="dxa"/>
          </w:tcPr>
          <w:p w14:paraId="1D821862" w14:textId="77777777" w:rsidR="00CB4A00" w:rsidRDefault="00CB4A00" w:rsidP="00C66961">
            <w:pPr>
              <w:jc w:val="both"/>
              <w:rPr>
                <w:rFonts w:cs="Arial"/>
                <w:sz w:val="18"/>
                <w:szCs w:val="18"/>
                <w:lang w:eastAsia="cs-CZ"/>
              </w:rPr>
            </w:pPr>
            <w:r w:rsidRPr="008B0647">
              <w:rPr>
                <w:rFonts w:cs="Arial"/>
                <w:sz w:val="18"/>
                <w:szCs w:val="18"/>
                <w:lang w:eastAsia="cs-CZ"/>
              </w:rPr>
              <w:lastRenderedPageBreak/>
              <w:t>Zkvalitnění života území ve strukturálně postižených regionech, zamezení odchodu obyvatel z území, změna image kraje (černý region)</w:t>
            </w:r>
          </w:p>
        </w:tc>
        <w:tc>
          <w:tcPr>
            <w:tcW w:w="2406" w:type="dxa"/>
          </w:tcPr>
          <w:p w14:paraId="22EE16F5" w14:textId="77777777" w:rsidR="00CB4A00" w:rsidRDefault="00CB4A00" w:rsidP="00C66961">
            <w:pPr>
              <w:jc w:val="both"/>
              <w:rPr>
                <w:rFonts w:cs="Arial"/>
                <w:sz w:val="18"/>
                <w:szCs w:val="18"/>
                <w:lang w:eastAsia="cs-CZ"/>
              </w:rPr>
            </w:pPr>
            <w:r>
              <w:rPr>
                <w:rFonts w:eastAsia="Arial" w:cs="Arial"/>
                <w:sz w:val="18"/>
                <w:szCs w:val="18"/>
              </w:rPr>
              <w:t>C</w:t>
            </w:r>
            <w:r w:rsidRPr="005C6422">
              <w:rPr>
                <w:rFonts w:eastAsia="Arial" w:cs="Arial"/>
                <w:sz w:val="18"/>
                <w:szCs w:val="18"/>
              </w:rPr>
              <w:t>ílov</w:t>
            </w:r>
            <w:r>
              <w:rPr>
                <w:rFonts w:eastAsia="Arial" w:cs="Arial"/>
                <w:sz w:val="18"/>
                <w:szCs w:val="18"/>
              </w:rPr>
              <w:t>é</w:t>
            </w:r>
            <w:r w:rsidRPr="005C6422">
              <w:rPr>
                <w:rFonts w:eastAsia="Arial" w:cs="Arial"/>
                <w:sz w:val="18"/>
                <w:szCs w:val="18"/>
              </w:rPr>
              <w:t xml:space="preserve"> skupiny – investoři, obyvatelé regionu, návštěvníci kraje, přeshraniční dopad</w:t>
            </w:r>
          </w:p>
        </w:tc>
        <w:tc>
          <w:tcPr>
            <w:tcW w:w="1482" w:type="dxa"/>
            <w:vAlign w:val="center"/>
          </w:tcPr>
          <w:p w14:paraId="22F3870D" w14:textId="77777777" w:rsidR="00CB4A00" w:rsidRDefault="00CB4A00" w:rsidP="00C66961">
            <w:pPr>
              <w:jc w:val="center"/>
              <w:rPr>
                <w:rFonts w:cs="Arial"/>
                <w:sz w:val="18"/>
                <w:szCs w:val="18"/>
                <w:lang w:eastAsia="cs-CZ"/>
              </w:rPr>
            </w:pPr>
            <w:r>
              <w:rPr>
                <w:rFonts w:cs="Arial"/>
                <w:sz w:val="18"/>
                <w:szCs w:val="18"/>
                <w:lang w:eastAsia="cs-CZ"/>
              </w:rPr>
              <w:t>X</w:t>
            </w:r>
          </w:p>
        </w:tc>
      </w:tr>
    </w:tbl>
    <w:p w14:paraId="7D503689" w14:textId="77777777" w:rsidR="00CB4A00" w:rsidRPr="0017795C" w:rsidRDefault="00CB4A00" w:rsidP="000264FB">
      <w:pPr>
        <w:pStyle w:val="Nadpis2"/>
        <w:numPr>
          <w:ilvl w:val="0"/>
          <w:numId w:val="0"/>
        </w:numPr>
        <w:ind w:left="576" w:hanging="576"/>
        <w:rPr>
          <w:rFonts w:cs="Arial"/>
        </w:rPr>
      </w:pPr>
      <w:bookmarkStart w:id="85" w:name="_Toc63804175"/>
      <w:bookmarkStart w:id="86" w:name="_Toc115435289"/>
      <w:bookmarkStart w:id="87" w:name="_Toc175743074"/>
      <w:r w:rsidRPr="0017795C">
        <w:rPr>
          <w:rFonts w:eastAsia="Times New Roman" w:cs="Arial"/>
          <w:lang w:eastAsia="cs-CZ"/>
        </w:rPr>
        <w:lastRenderedPageBreak/>
        <w:t>Karlovarský kraj</w:t>
      </w:r>
      <w:bookmarkEnd w:id="85"/>
      <w:bookmarkEnd w:id="86"/>
      <w:bookmarkEnd w:id="87"/>
    </w:p>
    <w:tbl>
      <w:tblPr>
        <w:tblStyle w:val="Mkatabulky"/>
        <w:tblW w:w="14039" w:type="dxa"/>
        <w:jc w:val="center"/>
        <w:tblLayout w:type="fixed"/>
        <w:tblLook w:val="04A0" w:firstRow="1" w:lastRow="0" w:firstColumn="1" w:lastColumn="0" w:noHBand="0" w:noVBand="1"/>
      </w:tblPr>
      <w:tblGrid>
        <w:gridCol w:w="2547"/>
        <w:gridCol w:w="1001"/>
        <w:gridCol w:w="1686"/>
        <w:gridCol w:w="6"/>
        <w:gridCol w:w="2740"/>
        <w:gridCol w:w="8"/>
        <w:gridCol w:w="2163"/>
        <w:gridCol w:w="2406"/>
        <w:gridCol w:w="1482"/>
      </w:tblGrid>
      <w:tr w:rsidR="00CB4A00" w14:paraId="106E722F" w14:textId="77777777" w:rsidTr="00C66961">
        <w:trPr>
          <w:tblHeader/>
          <w:jc w:val="center"/>
        </w:trPr>
        <w:tc>
          <w:tcPr>
            <w:tcW w:w="2547" w:type="dxa"/>
            <w:shd w:val="clear" w:color="auto" w:fill="FFC000"/>
            <w:vAlign w:val="center"/>
          </w:tcPr>
          <w:p w14:paraId="09490E99"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Popis projektu</w:t>
            </w:r>
          </w:p>
        </w:tc>
        <w:tc>
          <w:tcPr>
            <w:tcW w:w="1001" w:type="dxa"/>
            <w:shd w:val="clear" w:color="auto" w:fill="FFC000"/>
            <w:vAlign w:val="center"/>
          </w:tcPr>
          <w:p w14:paraId="52C1BB8D"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Finanční náklady </w:t>
            </w:r>
          </w:p>
        </w:tc>
        <w:tc>
          <w:tcPr>
            <w:tcW w:w="1686" w:type="dxa"/>
            <w:shd w:val="clear" w:color="auto" w:fill="FFC000"/>
            <w:vAlign w:val="center"/>
          </w:tcPr>
          <w:p w14:paraId="6D45045C"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Předpokládaný zdroj </w:t>
            </w:r>
            <w:r>
              <w:rPr>
                <w:rStyle w:val="Znakapoznpodarou"/>
                <w:rFonts w:cs="Arial"/>
                <w:b/>
                <w:bCs/>
                <w:sz w:val="18"/>
                <w:szCs w:val="18"/>
                <w:lang w:eastAsia="cs-CZ"/>
              </w:rPr>
              <w:footnoteReference w:id="6"/>
            </w:r>
            <w:r w:rsidRPr="0003524B">
              <w:rPr>
                <w:rFonts w:cs="Arial"/>
                <w:b/>
                <w:bCs/>
                <w:sz w:val="18"/>
                <w:szCs w:val="18"/>
                <w:lang w:eastAsia="cs-CZ"/>
              </w:rPr>
              <w:t>financování</w:t>
            </w:r>
          </w:p>
        </w:tc>
        <w:tc>
          <w:tcPr>
            <w:tcW w:w="2746" w:type="dxa"/>
            <w:gridSpan w:val="2"/>
            <w:shd w:val="clear" w:color="auto" w:fill="FFC000"/>
            <w:vAlign w:val="center"/>
          </w:tcPr>
          <w:p w14:paraId="0BC52C18"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Přímé nebo nepřímé hospodářské dopady</w:t>
            </w:r>
          </w:p>
        </w:tc>
        <w:tc>
          <w:tcPr>
            <w:tcW w:w="2171" w:type="dxa"/>
            <w:gridSpan w:val="2"/>
            <w:shd w:val="clear" w:color="auto" w:fill="FFC000"/>
            <w:vAlign w:val="center"/>
          </w:tcPr>
          <w:p w14:paraId="26395323"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Přímé dopady na restrukturalizaci kraje</w:t>
            </w:r>
          </w:p>
        </w:tc>
        <w:tc>
          <w:tcPr>
            <w:tcW w:w="2406" w:type="dxa"/>
            <w:shd w:val="clear" w:color="auto" w:fill="FFC000"/>
            <w:vAlign w:val="center"/>
          </w:tcPr>
          <w:p w14:paraId="003724F5"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Dopady na významnou část území</w:t>
            </w:r>
          </w:p>
        </w:tc>
        <w:tc>
          <w:tcPr>
            <w:tcW w:w="1482" w:type="dxa"/>
            <w:shd w:val="clear" w:color="auto" w:fill="FFC000"/>
            <w:vAlign w:val="center"/>
          </w:tcPr>
          <w:p w14:paraId="5E918A2B"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Vazba na SP OPST</w:t>
            </w:r>
          </w:p>
        </w:tc>
      </w:tr>
      <w:tr w:rsidR="00CB4A00" w14:paraId="61DE92CD" w14:textId="77777777" w:rsidTr="00C66961">
        <w:trPr>
          <w:trHeight w:val="340"/>
          <w:jc w:val="center"/>
        </w:trPr>
        <w:tc>
          <w:tcPr>
            <w:tcW w:w="14039" w:type="dxa"/>
            <w:gridSpan w:val="9"/>
            <w:shd w:val="clear" w:color="auto" w:fill="D0CECE" w:themeFill="background2" w:themeFillShade="E6"/>
            <w:vAlign w:val="center"/>
          </w:tcPr>
          <w:p w14:paraId="781F3FC6" w14:textId="77777777" w:rsidR="00CB4A00" w:rsidRPr="0003524B" w:rsidRDefault="00CB4A00" w:rsidP="00C66961">
            <w:pPr>
              <w:jc w:val="center"/>
              <w:rPr>
                <w:rFonts w:cs="Arial"/>
                <w:b/>
                <w:bCs/>
                <w:sz w:val="18"/>
                <w:szCs w:val="18"/>
                <w:lang w:eastAsia="cs-CZ"/>
              </w:rPr>
            </w:pPr>
            <w:r w:rsidRPr="0003524B">
              <w:rPr>
                <w:rFonts w:cs="Arial"/>
                <w:b/>
                <w:bCs/>
                <w:sz w:val="18"/>
                <w:szCs w:val="18"/>
                <w:lang w:eastAsia="cs-CZ"/>
              </w:rPr>
              <w:t xml:space="preserve">Hlavní rozvojové projekty – </w:t>
            </w:r>
            <w:r>
              <w:rPr>
                <w:rFonts w:cs="Arial"/>
                <w:b/>
                <w:bCs/>
                <w:sz w:val="18"/>
                <w:szCs w:val="18"/>
                <w:lang w:eastAsia="cs-CZ"/>
              </w:rPr>
              <w:t>Karlovarský kraj</w:t>
            </w:r>
          </w:p>
        </w:tc>
      </w:tr>
      <w:tr w:rsidR="00CB4A00" w14:paraId="0D174D37" w14:textId="77777777" w:rsidTr="00C66961">
        <w:trPr>
          <w:jc w:val="center"/>
        </w:trPr>
        <w:tc>
          <w:tcPr>
            <w:tcW w:w="14039" w:type="dxa"/>
            <w:gridSpan w:val="9"/>
            <w:shd w:val="clear" w:color="auto" w:fill="FFF2CC" w:themeFill="accent4" w:themeFillTint="33"/>
            <w:vAlign w:val="center"/>
          </w:tcPr>
          <w:p w14:paraId="32B2B6B0" w14:textId="77777777" w:rsidR="00CB4A00" w:rsidRPr="002516D6" w:rsidRDefault="00CB4A00" w:rsidP="002E4092">
            <w:pPr>
              <w:pStyle w:val="Odstavecseseznamem"/>
              <w:numPr>
                <w:ilvl w:val="0"/>
                <w:numId w:val="11"/>
              </w:numPr>
              <w:jc w:val="center"/>
              <w:rPr>
                <w:rFonts w:cs="Arial"/>
                <w:b/>
                <w:bCs/>
                <w:sz w:val="18"/>
                <w:szCs w:val="18"/>
                <w:lang w:eastAsia="cs-CZ"/>
              </w:rPr>
            </w:pPr>
            <w:r w:rsidRPr="00B46552">
              <w:rPr>
                <w:rFonts w:eastAsia="Times New Roman" w:cs="Arial"/>
                <w:b/>
                <w:bCs/>
                <w:color w:val="000000"/>
                <w:sz w:val="18"/>
                <w:szCs w:val="18"/>
                <w:lang w:eastAsia="cs-CZ"/>
              </w:rPr>
              <w:t>Vybudování univerzitní infrastruktury včetně vybudování vědeckotechnického parku a souvisejících aktivit</w:t>
            </w:r>
          </w:p>
        </w:tc>
      </w:tr>
      <w:tr w:rsidR="00CB4A00" w14:paraId="4F0C669B" w14:textId="77777777" w:rsidTr="00C66961">
        <w:trPr>
          <w:jc w:val="center"/>
        </w:trPr>
        <w:tc>
          <w:tcPr>
            <w:tcW w:w="2547" w:type="dxa"/>
            <w:tcBorders>
              <w:bottom w:val="single" w:sz="4" w:space="0" w:color="auto"/>
            </w:tcBorders>
          </w:tcPr>
          <w:p w14:paraId="51F9F133" w14:textId="77777777" w:rsidR="00CB4A00" w:rsidRDefault="00CB4A00" w:rsidP="00C66961">
            <w:pPr>
              <w:jc w:val="both"/>
              <w:rPr>
                <w:rFonts w:cs="Arial"/>
                <w:sz w:val="18"/>
                <w:szCs w:val="18"/>
                <w:lang w:eastAsia="cs-CZ"/>
              </w:rPr>
            </w:pPr>
            <w:r w:rsidRPr="002516D6">
              <w:rPr>
                <w:rFonts w:cs="Arial"/>
                <w:sz w:val="18"/>
                <w:szCs w:val="18"/>
                <w:lang w:eastAsia="cs-CZ"/>
              </w:rPr>
              <w:t xml:space="preserve">Vybudování Vědeckotechnického parku (nově pod názvem </w:t>
            </w:r>
            <w:r w:rsidRPr="002516D6">
              <w:rPr>
                <w:rFonts w:cs="Arial"/>
                <w:b/>
                <w:bCs/>
                <w:sz w:val="18"/>
                <w:szCs w:val="18"/>
                <w:lang w:eastAsia="cs-CZ"/>
              </w:rPr>
              <w:t>Karlovarské inovační centrum – KIC</w:t>
            </w:r>
            <w:r w:rsidRPr="002516D6">
              <w:rPr>
                <w:rFonts w:cs="Arial"/>
                <w:sz w:val="18"/>
                <w:szCs w:val="18"/>
                <w:lang w:eastAsia="cs-CZ"/>
              </w:rPr>
              <w:t>), vybudování univerzitní infrastruktury a souvisejících aktivit. Jedná se o spolupráci s vysokými školami a výzkumnými organizacemi a o vybudování špičkové infrastruktury pro významná pracoviště (technické a technologické vybavení, laboratoře, pořízení strojů a zařízení apod.)</w:t>
            </w:r>
          </w:p>
        </w:tc>
        <w:tc>
          <w:tcPr>
            <w:tcW w:w="1001" w:type="dxa"/>
            <w:tcBorders>
              <w:bottom w:val="single" w:sz="4" w:space="0" w:color="auto"/>
            </w:tcBorders>
          </w:tcPr>
          <w:p w14:paraId="7CA71088" w14:textId="77777777" w:rsidR="00CB4A00" w:rsidRDefault="00CB4A00" w:rsidP="00C66961">
            <w:pPr>
              <w:jc w:val="both"/>
              <w:rPr>
                <w:rFonts w:cs="Arial"/>
                <w:sz w:val="18"/>
                <w:szCs w:val="18"/>
                <w:lang w:eastAsia="cs-CZ"/>
              </w:rPr>
            </w:pPr>
            <w:r w:rsidRPr="002516D6">
              <w:rPr>
                <w:rFonts w:cs="Arial"/>
                <w:sz w:val="18"/>
                <w:szCs w:val="18"/>
                <w:lang w:eastAsia="cs-CZ"/>
              </w:rPr>
              <w:t xml:space="preserve">500 mil Kč +. DPH (Vědecko technický park)                                          400 mil. Kč  </w:t>
            </w:r>
            <w:r>
              <w:rPr>
                <w:rFonts w:cs="Arial"/>
                <w:sz w:val="18"/>
                <w:szCs w:val="18"/>
                <w:lang w:eastAsia="cs-CZ"/>
              </w:rPr>
              <w:br/>
            </w:r>
            <w:r w:rsidRPr="002516D6">
              <w:rPr>
                <w:rFonts w:cs="Arial"/>
                <w:sz w:val="18"/>
                <w:szCs w:val="18"/>
                <w:lang w:eastAsia="cs-CZ"/>
              </w:rPr>
              <w:t>vč. DPH (Uni</w:t>
            </w:r>
            <w:r>
              <w:rPr>
                <w:rFonts w:cs="Arial"/>
                <w:sz w:val="18"/>
                <w:szCs w:val="18"/>
                <w:lang w:eastAsia="cs-CZ"/>
              </w:rPr>
              <w:t xml:space="preserve">. </w:t>
            </w:r>
            <w:r w:rsidRPr="002516D6">
              <w:rPr>
                <w:rFonts w:cs="Arial"/>
                <w:sz w:val="18"/>
                <w:szCs w:val="18"/>
                <w:lang w:eastAsia="cs-CZ"/>
              </w:rPr>
              <w:t>infrastruktura)</w:t>
            </w:r>
          </w:p>
        </w:tc>
        <w:tc>
          <w:tcPr>
            <w:tcW w:w="1692" w:type="dxa"/>
            <w:gridSpan w:val="2"/>
            <w:tcBorders>
              <w:bottom w:val="single" w:sz="4" w:space="0" w:color="auto"/>
            </w:tcBorders>
          </w:tcPr>
          <w:p w14:paraId="30323DE6" w14:textId="77777777" w:rsidR="00CB4A00" w:rsidRDefault="00CB4A00" w:rsidP="00C66961">
            <w:pPr>
              <w:jc w:val="both"/>
              <w:rPr>
                <w:rFonts w:cs="Arial"/>
                <w:sz w:val="18"/>
                <w:szCs w:val="18"/>
                <w:lang w:eastAsia="cs-CZ"/>
              </w:rPr>
            </w:pPr>
            <w:r w:rsidRPr="002516D6">
              <w:rPr>
                <w:rFonts w:cs="Arial"/>
                <w:sz w:val="18"/>
                <w:szCs w:val="18"/>
                <w:lang w:eastAsia="cs-CZ"/>
              </w:rPr>
              <w:t>MPO, fondy EU – OP ST, ERDF, v závislosti na podmínkách a nastavení programů</w:t>
            </w:r>
          </w:p>
        </w:tc>
        <w:tc>
          <w:tcPr>
            <w:tcW w:w="2748" w:type="dxa"/>
            <w:gridSpan w:val="2"/>
          </w:tcPr>
          <w:p w14:paraId="127D6A36" w14:textId="77777777" w:rsidR="00CB4A00" w:rsidRDefault="00CB4A00" w:rsidP="00C66961">
            <w:pPr>
              <w:jc w:val="both"/>
              <w:rPr>
                <w:rFonts w:cs="Arial"/>
                <w:sz w:val="18"/>
                <w:szCs w:val="18"/>
                <w:lang w:eastAsia="cs-CZ"/>
              </w:rPr>
            </w:pPr>
            <w:r w:rsidRPr="002516D6">
              <w:rPr>
                <w:rFonts w:cs="Arial"/>
                <w:sz w:val="18"/>
                <w:szCs w:val="18"/>
                <w:lang w:eastAsia="cs-CZ"/>
              </w:rPr>
              <w:t>Motivace a vzdělání pro inovační podnikání. Kvalitní výzkum a vývoj ve firmách. Zvýšená poptávka po výsledcích VaV v akademických institucích. Zvýšení počtu kvalifikovaných VaV expertů. Vytvoření kapacity fyzické infrastruktury pro výzkumné programy a pro vznik nových výzkumných týmů. Zvýšení atraktivity kraje pro kvalifikované pracovníky. Přilákání zahraničních expertů do kraje</w:t>
            </w:r>
            <w:r>
              <w:rPr>
                <w:rFonts w:cs="Arial"/>
                <w:sz w:val="18"/>
                <w:szCs w:val="18"/>
                <w:lang w:eastAsia="cs-CZ"/>
              </w:rPr>
              <w:t>.</w:t>
            </w:r>
          </w:p>
        </w:tc>
        <w:tc>
          <w:tcPr>
            <w:tcW w:w="2163" w:type="dxa"/>
            <w:tcBorders>
              <w:bottom w:val="single" w:sz="4" w:space="0" w:color="auto"/>
            </w:tcBorders>
          </w:tcPr>
          <w:p w14:paraId="7060624C" w14:textId="77777777" w:rsidR="00CB4A00" w:rsidRPr="002516D6" w:rsidRDefault="00CB4A00" w:rsidP="00C66961">
            <w:pPr>
              <w:jc w:val="both"/>
              <w:rPr>
                <w:rFonts w:cs="Arial"/>
                <w:sz w:val="18"/>
                <w:szCs w:val="18"/>
                <w:lang w:eastAsia="cs-CZ"/>
              </w:rPr>
            </w:pPr>
            <w:r w:rsidRPr="002516D6">
              <w:rPr>
                <w:rFonts w:cs="Arial"/>
                <w:sz w:val="18"/>
                <w:szCs w:val="18"/>
                <w:lang w:eastAsia="cs-CZ"/>
              </w:rPr>
              <w:t>Podpora spolupráce s vysokými školami a výzkumnými organizacemi</w:t>
            </w:r>
          </w:p>
          <w:p w14:paraId="4C7C60F4" w14:textId="77777777" w:rsidR="00CB4A00" w:rsidRDefault="00CB4A00" w:rsidP="00C66961">
            <w:pPr>
              <w:jc w:val="both"/>
              <w:rPr>
                <w:rFonts w:cs="Arial"/>
                <w:sz w:val="18"/>
                <w:szCs w:val="18"/>
                <w:lang w:eastAsia="cs-CZ"/>
              </w:rPr>
            </w:pPr>
            <w:r w:rsidRPr="002516D6">
              <w:rPr>
                <w:rFonts w:cs="Arial"/>
                <w:sz w:val="18"/>
                <w:szCs w:val="18"/>
                <w:lang w:eastAsia="cs-CZ"/>
              </w:rPr>
              <w:t>Vybudování špičkové infrastruktury pro výzkumná pracoviště (technické a technologické vybavení, laboratoře, pořízení strojů a zařízení apod.). Podpora rozvoje odborných kapacit a příchodu excelentních pracovníků do KVK. Vytváření a podpora činnosti výzkumných týmů. Realizace projektů aplikovaného výzkumu. Prezentace a sdílení výsledků výzkumu na národní i mezinárodní úrovni</w:t>
            </w:r>
            <w:r>
              <w:rPr>
                <w:rFonts w:cs="Arial"/>
                <w:sz w:val="18"/>
                <w:szCs w:val="18"/>
                <w:lang w:eastAsia="cs-CZ"/>
              </w:rPr>
              <w:t xml:space="preserve">. </w:t>
            </w:r>
          </w:p>
          <w:p w14:paraId="4D72F559" w14:textId="77777777" w:rsidR="00314AF9" w:rsidRDefault="00314AF9" w:rsidP="00C66961">
            <w:pPr>
              <w:jc w:val="both"/>
              <w:rPr>
                <w:rFonts w:cs="Arial"/>
                <w:sz w:val="18"/>
                <w:szCs w:val="18"/>
                <w:lang w:eastAsia="cs-CZ"/>
              </w:rPr>
            </w:pPr>
          </w:p>
          <w:p w14:paraId="504D317C" w14:textId="77777777" w:rsidR="00314AF9" w:rsidRDefault="00314AF9" w:rsidP="00C66961">
            <w:pPr>
              <w:jc w:val="both"/>
              <w:rPr>
                <w:rFonts w:cs="Arial"/>
                <w:sz w:val="18"/>
                <w:szCs w:val="18"/>
                <w:lang w:eastAsia="cs-CZ"/>
              </w:rPr>
            </w:pPr>
          </w:p>
          <w:p w14:paraId="36F01992" w14:textId="77777777" w:rsidR="00314AF9" w:rsidRDefault="00314AF9" w:rsidP="00C66961">
            <w:pPr>
              <w:jc w:val="both"/>
              <w:rPr>
                <w:rFonts w:cs="Arial"/>
                <w:sz w:val="18"/>
                <w:szCs w:val="18"/>
                <w:lang w:eastAsia="cs-CZ"/>
              </w:rPr>
            </w:pPr>
          </w:p>
          <w:p w14:paraId="3CA7DECB" w14:textId="3C70300C" w:rsidR="00314AF9" w:rsidRDefault="00314AF9" w:rsidP="00C66961">
            <w:pPr>
              <w:jc w:val="both"/>
              <w:rPr>
                <w:rFonts w:cs="Arial"/>
                <w:sz w:val="18"/>
                <w:szCs w:val="18"/>
                <w:lang w:eastAsia="cs-CZ"/>
              </w:rPr>
            </w:pPr>
          </w:p>
        </w:tc>
        <w:tc>
          <w:tcPr>
            <w:tcW w:w="2406" w:type="dxa"/>
            <w:tcBorders>
              <w:bottom w:val="single" w:sz="4" w:space="0" w:color="auto"/>
            </w:tcBorders>
          </w:tcPr>
          <w:p w14:paraId="0F1ADBDA" w14:textId="77777777" w:rsidR="00CB4A00" w:rsidRDefault="00CB4A00" w:rsidP="00C66961">
            <w:pPr>
              <w:jc w:val="both"/>
              <w:rPr>
                <w:rFonts w:cs="Arial"/>
                <w:sz w:val="18"/>
                <w:szCs w:val="18"/>
                <w:lang w:eastAsia="cs-CZ"/>
              </w:rPr>
            </w:pPr>
            <w:r w:rsidRPr="002516D6">
              <w:rPr>
                <w:rFonts w:cs="Arial"/>
                <w:sz w:val="18"/>
                <w:szCs w:val="18"/>
                <w:lang w:eastAsia="cs-CZ"/>
              </w:rPr>
              <w:t>V rámci KVK je dopad celé této intervence na celý kraj – jedná se podporu výukových středisek vysokých škol v KVK, které mohou být jak územně, tak svými aktivitami propojena s Vědeckotechnickým parkem. Obě akce by bylo ideální realizovat souběžné – ale mohou existovat i samostatně.</w:t>
            </w:r>
          </w:p>
        </w:tc>
        <w:tc>
          <w:tcPr>
            <w:tcW w:w="1482" w:type="dxa"/>
            <w:tcBorders>
              <w:bottom w:val="single" w:sz="4" w:space="0" w:color="auto"/>
            </w:tcBorders>
            <w:vAlign w:val="center"/>
          </w:tcPr>
          <w:p w14:paraId="14710653" w14:textId="77777777" w:rsidR="00CB4A00" w:rsidRDefault="00CB4A00" w:rsidP="00C66961">
            <w:pPr>
              <w:jc w:val="center"/>
              <w:rPr>
                <w:rFonts w:cs="Arial"/>
                <w:sz w:val="18"/>
                <w:szCs w:val="18"/>
                <w:lang w:eastAsia="cs-CZ"/>
              </w:rPr>
            </w:pPr>
            <w:r w:rsidRPr="002516D6">
              <w:rPr>
                <w:rFonts w:cs="Arial"/>
                <w:sz w:val="18"/>
                <w:szCs w:val="18"/>
                <w:lang w:eastAsia="cs-CZ"/>
              </w:rPr>
              <w:t>Projekt VTP/Karlovarské inovační centrum KIC</w:t>
            </w:r>
          </w:p>
        </w:tc>
      </w:tr>
      <w:tr w:rsidR="00CB4A00" w14:paraId="27E752AC" w14:textId="77777777" w:rsidTr="00C66961">
        <w:trPr>
          <w:jc w:val="center"/>
        </w:trPr>
        <w:tc>
          <w:tcPr>
            <w:tcW w:w="14039" w:type="dxa"/>
            <w:gridSpan w:val="9"/>
            <w:shd w:val="clear" w:color="auto" w:fill="FFF2CC" w:themeFill="accent4" w:themeFillTint="33"/>
          </w:tcPr>
          <w:p w14:paraId="29C93AF3" w14:textId="77777777" w:rsidR="00CB4A00" w:rsidRPr="002516D6" w:rsidRDefault="00CB4A00" w:rsidP="002E4092">
            <w:pPr>
              <w:pStyle w:val="Odstavecseseznamem"/>
              <w:numPr>
                <w:ilvl w:val="0"/>
                <w:numId w:val="11"/>
              </w:numPr>
              <w:jc w:val="center"/>
              <w:rPr>
                <w:rFonts w:cs="Arial"/>
                <w:b/>
                <w:bCs/>
                <w:sz w:val="18"/>
                <w:szCs w:val="18"/>
                <w:lang w:eastAsia="cs-CZ"/>
              </w:rPr>
            </w:pPr>
            <w:r w:rsidRPr="00B46552">
              <w:rPr>
                <w:rFonts w:eastAsia="Times New Roman" w:cs="Arial"/>
                <w:b/>
                <w:bCs/>
                <w:color w:val="000000"/>
                <w:sz w:val="18"/>
                <w:szCs w:val="18"/>
                <w:lang w:eastAsia="cs-CZ"/>
              </w:rPr>
              <w:t>Podpora a rozvoj Institutu lázeňství a balneolgoie, v. v. i.</w:t>
            </w:r>
          </w:p>
        </w:tc>
      </w:tr>
      <w:tr w:rsidR="00CB4A00" w14:paraId="21BC11E5" w14:textId="77777777" w:rsidTr="00C66961">
        <w:trPr>
          <w:jc w:val="center"/>
        </w:trPr>
        <w:tc>
          <w:tcPr>
            <w:tcW w:w="2547" w:type="dxa"/>
          </w:tcPr>
          <w:p w14:paraId="705B5484" w14:textId="77777777" w:rsidR="00CB4A00" w:rsidRDefault="00CB4A00" w:rsidP="00C66961">
            <w:pPr>
              <w:jc w:val="both"/>
              <w:rPr>
                <w:rFonts w:cs="Arial"/>
                <w:sz w:val="18"/>
                <w:szCs w:val="18"/>
                <w:lang w:eastAsia="cs-CZ"/>
              </w:rPr>
            </w:pPr>
            <w:r w:rsidRPr="002516D6">
              <w:rPr>
                <w:rFonts w:cs="Arial"/>
                <w:sz w:val="18"/>
                <w:szCs w:val="18"/>
                <w:lang w:eastAsia="cs-CZ"/>
              </w:rPr>
              <w:lastRenderedPageBreak/>
              <w:t>Získání kvalitních expertů (domácích i zahraničních), zahájení spolupráce s VaV týmy a vybudování nové fyzické infrastruktury v podobě odborných učeben, laboratoří, zařízení a přístrojů, rozšíření základny VaV aktivit, rozvoj výukových středisek vysokých škol v KVK pro oblast lázeňství a balneologie</w:t>
            </w:r>
          </w:p>
        </w:tc>
        <w:tc>
          <w:tcPr>
            <w:tcW w:w="1001" w:type="dxa"/>
          </w:tcPr>
          <w:p w14:paraId="7AC64974" w14:textId="77777777" w:rsidR="00CB4A00" w:rsidRDefault="00CB4A00" w:rsidP="00C66961">
            <w:pPr>
              <w:jc w:val="both"/>
              <w:rPr>
                <w:rFonts w:cs="Arial"/>
                <w:sz w:val="18"/>
                <w:szCs w:val="18"/>
                <w:lang w:eastAsia="cs-CZ"/>
              </w:rPr>
            </w:pPr>
            <w:r w:rsidRPr="002516D6">
              <w:rPr>
                <w:rFonts w:cs="Arial"/>
                <w:sz w:val="18"/>
                <w:szCs w:val="18"/>
                <w:lang w:eastAsia="cs-CZ"/>
              </w:rPr>
              <w:t>500 mil. Kč včetně DPH</w:t>
            </w:r>
          </w:p>
        </w:tc>
        <w:tc>
          <w:tcPr>
            <w:tcW w:w="1692" w:type="dxa"/>
            <w:gridSpan w:val="2"/>
          </w:tcPr>
          <w:p w14:paraId="23FCF0F0" w14:textId="48DB5B5D" w:rsidR="00CB4A00" w:rsidRDefault="00CB4A00" w:rsidP="00C66961">
            <w:pPr>
              <w:jc w:val="both"/>
              <w:rPr>
                <w:rFonts w:cs="Arial"/>
                <w:sz w:val="18"/>
                <w:szCs w:val="18"/>
                <w:lang w:eastAsia="cs-CZ"/>
              </w:rPr>
            </w:pPr>
            <w:r w:rsidRPr="002516D6">
              <w:rPr>
                <w:rFonts w:cs="Arial"/>
                <w:sz w:val="18"/>
                <w:szCs w:val="18"/>
                <w:lang w:eastAsia="cs-CZ"/>
              </w:rPr>
              <w:t>OP ST a další a doplňkově další zdroje – MŠMT, TA</w:t>
            </w:r>
            <w:r w:rsidR="0060056A">
              <w:rPr>
                <w:rFonts w:cs="Arial"/>
                <w:sz w:val="18"/>
                <w:szCs w:val="18"/>
                <w:lang w:eastAsia="cs-CZ"/>
              </w:rPr>
              <w:t xml:space="preserve"> </w:t>
            </w:r>
            <w:r w:rsidRPr="002516D6">
              <w:rPr>
                <w:rFonts w:cs="Arial"/>
                <w:sz w:val="18"/>
                <w:szCs w:val="18"/>
                <w:lang w:eastAsia="cs-CZ"/>
              </w:rPr>
              <w:t>ČR, v závislosti na podmínkách a nastavení programů</w:t>
            </w:r>
          </w:p>
        </w:tc>
        <w:tc>
          <w:tcPr>
            <w:tcW w:w="2748" w:type="dxa"/>
            <w:gridSpan w:val="2"/>
          </w:tcPr>
          <w:p w14:paraId="39B3DC2A" w14:textId="77777777" w:rsidR="00CB4A00" w:rsidRPr="002516D6" w:rsidRDefault="00CB4A00" w:rsidP="00C66961">
            <w:pPr>
              <w:jc w:val="both"/>
              <w:rPr>
                <w:rFonts w:cs="Arial"/>
                <w:sz w:val="18"/>
                <w:szCs w:val="18"/>
                <w:lang w:eastAsia="cs-CZ"/>
              </w:rPr>
            </w:pPr>
            <w:r w:rsidRPr="002516D6">
              <w:rPr>
                <w:rFonts w:cs="Arial"/>
                <w:sz w:val="18"/>
                <w:szCs w:val="18"/>
                <w:lang w:eastAsia="cs-CZ"/>
              </w:rPr>
              <w:t>Zvýšení počtu kvalifikovaných VaV expertů. Vytvoření kapacity fyzické infrastruktury pro výzkumné programy a pro vznik nových výzkumných týmů. Zvýšení atraktivity kraje pro kvalifikované pracovník. Přilákání zahraničních expertů do kraje. Zvýšení návštěvnosti regionu</w:t>
            </w:r>
          </w:p>
          <w:p w14:paraId="4411FAD8" w14:textId="77777777" w:rsidR="00CB4A00" w:rsidRDefault="00CB4A00" w:rsidP="00C66961">
            <w:pPr>
              <w:jc w:val="both"/>
              <w:rPr>
                <w:rFonts w:cs="Arial"/>
                <w:sz w:val="18"/>
                <w:szCs w:val="18"/>
                <w:lang w:eastAsia="cs-CZ"/>
              </w:rPr>
            </w:pPr>
            <w:r w:rsidRPr="002516D6">
              <w:rPr>
                <w:rFonts w:cs="Arial"/>
                <w:sz w:val="18"/>
                <w:szCs w:val="18"/>
                <w:lang w:eastAsia="cs-CZ"/>
              </w:rPr>
              <w:t>podpora a rozvoj cestovního ruchu, který je pro KVK klíčovým oborem. Inovace v oboru lázeňství a balneologie, které doposud neexistují</w:t>
            </w:r>
            <w:r>
              <w:rPr>
                <w:rFonts w:cs="Arial"/>
                <w:sz w:val="18"/>
                <w:szCs w:val="18"/>
                <w:lang w:eastAsia="cs-CZ"/>
              </w:rPr>
              <w:t xml:space="preserve">. </w:t>
            </w:r>
          </w:p>
        </w:tc>
        <w:tc>
          <w:tcPr>
            <w:tcW w:w="2163" w:type="dxa"/>
          </w:tcPr>
          <w:p w14:paraId="00D1042B" w14:textId="77777777" w:rsidR="00CB4A00" w:rsidRPr="002516D6" w:rsidRDefault="00CB4A00" w:rsidP="00C66961">
            <w:pPr>
              <w:jc w:val="both"/>
              <w:rPr>
                <w:rFonts w:cs="Arial"/>
                <w:sz w:val="18"/>
                <w:szCs w:val="18"/>
                <w:lang w:eastAsia="cs-CZ"/>
              </w:rPr>
            </w:pPr>
            <w:r w:rsidRPr="002516D6">
              <w:rPr>
                <w:rFonts w:cs="Arial"/>
                <w:sz w:val="18"/>
                <w:szCs w:val="18"/>
                <w:lang w:eastAsia="cs-CZ"/>
              </w:rPr>
              <w:t>Infrastruktura pro výzkumná pracoviště. Podpora rozvoje odborných kapacit a příchodu excelentních pracovníků do KVK včetně zahraničních. Vytváření a podpora výzkumných týmů</w:t>
            </w:r>
          </w:p>
          <w:p w14:paraId="6D9994F9" w14:textId="77777777" w:rsidR="00CB4A00" w:rsidRDefault="00CB4A00" w:rsidP="00C66961">
            <w:pPr>
              <w:jc w:val="both"/>
              <w:rPr>
                <w:rFonts w:cs="Arial"/>
                <w:sz w:val="18"/>
                <w:szCs w:val="18"/>
                <w:lang w:eastAsia="cs-CZ"/>
              </w:rPr>
            </w:pPr>
            <w:r w:rsidRPr="002516D6">
              <w:rPr>
                <w:rFonts w:cs="Arial"/>
                <w:sz w:val="18"/>
                <w:szCs w:val="18"/>
                <w:lang w:eastAsia="cs-CZ"/>
              </w:rPr>
              <w:t>realizace projektů aplikovaného výzkumu v oblasti balneologie. Výzkum přírodních léčivých zdrojů. Popularizace účinků lázeňské léčby na zdraví pacienta.</w:t>
            </w:r>
          </w:p>
        </w:tc>
        <w:tc>
          <w:tcPr>
            <w:tcW w:w="2406" w:type="dxa"/>
          </w:tcPr>
          <w:p w14:paraId="37F50CDE" w14:textId="77777777" w:rsidR="00CB4A00" w:rsidRDefault="00CB4A00" w:rsidP="00C66961">
            <w:pPr>
              <w:jc w:val="both"/>
              <w:rPr>
                <w:rFonts w:cs="Arial"/>
                <w:sz w:val="18"/>
                <w:szCs w:val="18"/>
                <w:lang w:eastAsia="cs-CZ"/>
              </w:rPr>
            </w:pPr>
            <w:r w:rsidRPr="002516D6">
              <w:rPr>
                <w:rFonts w:cs="Arial"/>
                <w:sz w:val="18"/>
                <w:szCs w:val="18"/>
                <w:lang w:eastAsia="cs-CZ"/>
              </w:rPr>
              <w:t>Dopad na celé území KVK, podpora VaV aktivit, které v regionu téměř neexistují. Výsledky VaV pak následně mohou být aplikovány do ostatních regionů.</w:t>
            </w:r>
          </w:p>
        </w:tc>
        <w:tc>
          <w:tcPr>
            <w:tcW w:w="1482" w:type="dxa"/>
            <w:vAlign w:val="center"/>
          </w:tcPr>
          <w:p w14:paraId="4EFB8221" w14:textId="77777777" w:rsidR="00CB4A00" w:rsidRDefault="00CB4A00" w:rsidP="00C66961">
            <w:pPr>
              <w:jc w:val="center"/>
              <w:rPr>
                <w:rFonts w:cs="Arial"/>
                <w:sz w:val="18"/>
                <w:szCs w:val="18"/>
                <w:lang w:eastAsia="cs-CZ"/>
              </w:rPr>
            </w:pPr>
            <w:r w:rsidRPr="00B46552">
              <w:rPr>
                <w:rFonts w:eastAsia="Times New Roman" w:cs="Arial"/>
                <w:color w:val="000000"/>
                <w:sz w:val="18"/>
                <w:szCs w:val="18"/>
                <w:lang w:eastAsia="cs-CZ"/>
              </w:rPr>
              <w:t>Centrum lázeňského výzkumu</w:t>
            </w:r>
          </w:p>
        </w:tc>
      </w:tr>
      <w:tr w:rsidR="00CB4A00" w14:paraId="7A373CB8" w14:textId="77777777" w:rsidTr="00C66961">
        <w:trPr>
          <w:jc w:val="center"/>
        </w:trPr>
        <w:tc>
          <w:tcPr>
            <w:tcW w:w="14039" w:type="dxa"/>
            <w:gridSpan w:val="9"/>
            <w:shd w:val="clear" w:color="auto" w:fill="FFF2CC" w:themeFill="accent4" w:themeFillTint="33"/>
          </w:tcPr>
          <w:p w14:paraId="470732DE" w14:textId="77777777" w:rsidR="00CB4A00" w:rsidRPr="002516D6" w:rsidRDefault="00CB4A00" w:rsidP="002E4092">
            <w:pPr>
              <w:pStyle w:val="Odstavecseseznamem"/>
              <w:numPr>
                <w:ilvl w:val="0"/>
                <w:numId w:val="11"/>
              </w:numPr>
              <w:jc w:val="center"/>
              <w:rPr>
                <w:rFonts w:cs="Arial"/>
                <w:b/>
                <w:bCs/>
                <w:sz w:val="18"/>
                <w:szCs w:val="18"/>
                <w:lang w:eastAsia="cs-CZ"/>
              </w:rPr>
            </w:pPr>
            <w:r w:rsidRPr="002516D6">
              <w:rPr>
                <w:rFonts w:cs="Arial"/>
                <w:b/>
                <w:bCs/>
                <w:sz w:val="18"/>
                <w:szCs w:val="18"/>
                <w:lang w:eastAsia="cs-CZ"/>
              </w:rPr>
              <w:t>Zvýšení kvality bydlení a bytové politiky</w:t>
            </w:r>
          </w:p>
        </w:tc>
      </w:tr>
      <w:tr w:rsidR="00CB4A00" w14:paraId="4FBE345C" w14:textId="77777777" w:rsidTr="00C66961">
        <w:trPr>
          <w:jc w:val="center"/>
        </w:trPr>
        <w:tc>
          <w:tcPr>
            <w:tcW w:w="2547" w:type="dxa"/>
          </w:tcPr>
          <w:p w14:paraId="34216963" w14:textId="77777777" w:rsidR="00CB4A00" w:rsidRDefault="00CB4A00" w:rsidP="00C66961">
            <w:pPr>
              <w:jc w:val="both"/>
              <w:rPr>
                <w:rFonts w:cs="Arial"/>
                <w:sz w:val="18"/>
                <w:szCs w:val="18"/>
                <w:lang w:eastAsia="cs-CZ"/>
              </w:rPr>
            </w:pPr>
            <w:r w:rsidRPr="002516D6">
              <w:rPr>
                <w:rFonts w:cs="Arial"/>
                <w:sz w:val="18"/>
                <w:szCs w:val="18"/>
                <w:lang w:eastAsia="cs-CZ"/>
              </w:rPr>
              <w:t>Tento projekt je složen z projektů jednotlivých měst a obcí KVK, které trápí nedostatek kvalitního bydlení. Obsahem projektu je vedle výstavby nového bytového fondu, přestaveb nebytových prostor na bytové také revitalizace a modernizace sídlišť, doprava v klidu a celkové zatraktivnění prostoru k životu rodiny</w:t>
            </w:r>
            <w:r>
              <w:rPr>
                <w:rFonts w:cs="Arial"/>
                <w:sz w:val="18"/>
                <w:szCs w:val="18"/>
                <w:lang w:eastAsia="cs-CZ"/>
              </w:rPr>
              <w:t xml:space="preserve">. </w:t>
            </w:r>
          </w:p>
        </w:tc>
        <w:tc>
          <w:tcPr>
            <w:tcW w:w="1001" w:type="dxa"/>
          </w:tcPr>
          <w:p w14:paraId="00D4CF43" w14:textId="77777777" w:rsidR="00CB4A00" w:rsidRDefault="00CB4A00" w:rsidP="00C66961">
            <w:pPr>
              <w:jc w:val="both"/>
              <w:rPr>
                <w:rFonts w:cs="Arial"/>
                <w:sz w:val="18"/>
                <w:szCs w:val="18"/>
                <w:lang w:eastAsia="cs-CZ"/>
              </w:rPr>
            </w:pPr>
            <w:r w:rsidRPr="002516D6">
              <w:rPr>
                <w:rFonts w:cs="Arial"/>
                <w:sz w:val="18"/>
                <w:szCs w:val="18"/>
                <w:lang w:eastAsia="cs-CZ"/>
              </w:rPr>
              <w:t xml:space="preserve">Hrubý předpoklad pro KVK na základě průzkumu absorpční kapacity je cca </w:t>
            </w:r>
            <w:r>
              <w:rPr>
                <w:rFonts w:cs="Arial"/>
                <w:sz w:val="18"/>
                <w:szCs w:val="18"/>
                <w:lang w:eastAsia="cs-CZ"/>
              </w:rPr>
              <w:br/>
            </w:r>
            <w:r w:rsidRPr="002516D6">
              <w:rPr>
                <w:rFonts w:cs="Arial"/>
                <w:sz w:val="18"/>
                <w:szCs w:val="18"/>
                <w:lang w:eastAsia="cs-CZ"/>
              </w:rPr>
              <w:t xml:space="preserve">2 mld. Kč. Čerpání bude pozvolné – v roce 2019–2020 převážně příprava projektů, </w:t>
            </w:r>
            <w:r w:rsidRPr="002516D6">
              <w:rPr>
                <w:rFonts w:cs="Arial"/>
                <w:sz w:val="18"/>
                <w:szCs w:val="18"/>
                <w:lang w:eastAsia="cs-CZ"/>
              </w:rPr>
              <w:lastRenderedPageBreak/>
              <w:t>následně investice</w:t>
            </w:r>
            <w:r>
              <w:rPr>
                <w:rFonts w:cs="Arial"/>
                <w:sz w:val="18"/>
                <w:szCs w:val="18"/>
                <w:lang w:eastAsia="cs-CZ"/>
              </w:rPr>
              <w:t xml:space="preserve">. </w:t>
            </w:r>
          </w:p>
        </w:tc>
        <w:tc>
          <w:tcPr>
            <w:tcW w:w="1692" w:type="dxa"/>
            <w:gridSpan w:val="2"/>
          </w:tcPr>
          <w:p w14:paraId="7F1FFE13" w14:textId="77777777" w:rsidR="00CB4A00" w:rsidRDefault="00CB4A00" w:rsidP="00C66961">
            <w:pPr>
              <w:jc w:val="both"/>
              <w:rPr>
                <w:rFonts w:cs="Arial"/>
                <w:sz w:val="18"/>
                <w:szCs w:val="18"/>
                <w:lang w:eastAsia="cs-CZ"/>
              </w:rPr>
            </w:pPr>
            <w:r w:rsidRPr="00B46552">
              <w:rPr>
                <w:rFonts w:eastAsia="Times New Roman" w:cs="Arial"/>
                <w:sz w:val="18"/>
                <w:szCs w:val="18"/>
                <w:lang w:eastAsia="cs-CZ"/>
              </w:rPr>
              <w:lastRenderedPageBreak/>
              <w:t>MMR, SFRB, MŽP</w:t>
            </w:r>
          </w:p>
        </w:tc>
        <w:tc>
          <w:tcPr>
            <w:tcW w:w="2748" w:type="dxa"/>
            <w:gridSpan w:val="2"/>
          </w:tcPr>
          <w:p w14:paraId="09631CB6" w14:textId="77777777" w:rsidR="00CB4A00" w:rsidRDefault="00CB4A00" w:rsidP="00C66961">
            <w:pPr>
              <w:jc w:val="both"/>
              <w:rPr>
                <w:rFonts w:cs="Arial"/>
                <w:sz w:val="18"/>
                <w:szCs w:val="18"/>
                <w:lang w:eastAsia="cs-CZ"/>
              </w:rPr>
            </w:pPr>
            <w:r w:rsidRPr="00D9494F">
              <w:rPr>
                <w:rFonts w:cs="Arial"/>
                <w:sz w:val="18"/>
                <w:szCs w:val="18"/>
                <w:lang w:eastAsia="cs-CZ"/>
              </w:rPr>
              <w:t>Zkvalitnění vybraných lokalit v sídlech ve smyslu funkcí a využívání veřejných prostor, regenerace veřejných prostor. Pohraničí trpí velkým nedostatkem pracovní síly, která je dnes ve Spolkové republice Německo. Nabídka bytů a kvalitní bydlení pomůže přivést do regionu zaměstnance z jiných oblastí</w:t>
            </w:r>
            <w:r>
              <w:rPr>
                <w:rFonts w:cs="Arial"/>
                <w:sz w:val="18"/>
                <w:szCs w:val="18"/>
                <w:lang w:eastAsia="cs-CZ"/>
              </w:rPr>
              <w:t xml:space="preserve">. </w:t>
            </w:r>
          </w:p>
        </w:tc>
        <w:tc>
          <w:tcPr>
            <w:tcW w:w="2163" w:type="dxa"/>
          </w:tcPr>
          <w:p w14:paraId="3A51303C" w14:textId="77777777" w:rsidR="00CB4A00" w:rsidRDefault="00CB4A00" w:rsidP="00C66961">
            <w:pPr>
              <w:jc w:val="both"/>
              <w:rPr>
                <w:rFonts w:cs="Arial"/>
                <w:sz w:val="18"/>
                <w:szCs w:val="18"/>
                <w:lang w:eastAsia="cs-CZ"/>
              </w:rPr>
            </w:pPr>
            <w:r w:rsidRPr="00D9494F">
              <w:rPr>
                <w:rFonts w:cs="Arial"/>
                <w:sz w:val="18"/>
                <w:szCs w:val="18"/>
                <w:lang w:eastAsia="cs-CZ"/>
              </w:rPr>
              <w:t>Nastavení koordinovaného přístupu státu, příslušné obce, vlastníků bytového fondu. Budování nabídky startovacích a motivačních bytů pro začínající a do regionů přicházející pracovní síly. Zajištění konkurenceschopné občanské vybavenosti a služeb</w:t>
            </w:r>
            <w:r>
              <w:rPr>
                <w:rFonts w:cs="Arial"/>
                <w:sz w:val="18"/>
                <w:szCs w:val="18"/>
                <w:lang w:eastAsia="cs-CZ"/>
              </w:rPr>
              <w:t xml:space="preserve">. </w:t>
            </w:r>
          </w:p>
        </w:tc>
        <w:tc>
          <w:tcPr>
            <w:tcW w:w="2406" w:type="dxa"/>
          </w:tcPr>
          <w:p w14:paraId="57B43786" w14:textId="77777777" w:rsidR="00CB4A00" w:rsidRDefault="00CB4A00" w:rsidP="00C66961">
            <w:pPr>
              <w:jc w:val="both"/>
              <w:rPr>
                <w:rFonts w:cs="Arial"/>
                <w:sz w:val="18"/>
                <w:szCs w:val="18"/>
                <w:lang w:eastAsia="cs-CZ"/>
              </w:rPr>
            </w:pPr>
            <w:r>
              <w:rPr>
                <w:rFonts w:eastAsia="Times New Roman" w:cs="Arial"/>
                <w:color w:val="000000"/>
                <w:sz w:val="18"/>
                <w:szCs w:val="18"/>
                <w:lang w:eastAsia="cs-CZ"/>
              </w:rPr>
              <w:t>Z</w:t>
            </w:r>
            <w:r w:rsidRPr="00B46552">
              <w:rPr>
                <w:rFonts w:eastAsia="Times New Roman" w:cs="Arial"/>
                <w:color w:val="000000"/>
                <w:sz w:val="18"/>
                <w:szCs w:val="18"/>
                <w:lang w:eastAsia="cs-CZ"/>
              </w:rPr>
              <w:t>atraktivnění bytového fondu na území jednotlivých měst</w:t>
            </w:r>
            <w:r>
              <w:rPr>
                <w:rFonts w:eastAsia="Times New Roman" w:cs="Arial"/>
                <w:color w:val="000000"/>
                <w:sz w:val="18"/>
                <w:szCs w:val="18"/>
                <w:lang w:eastAsia="cs-CZ"/>
              </w:rPr>
              <w:t>. Z</w:t>
            </w:r>
            <w:r w:rsidRPr="00B46552">
              <w:rPr>
                <w:rFonts w:eastAsia="Times New Roman" w:cs="Arial"/>
                <w:color w:val="000000"/>
                <w:sz w:val="18"/>
                <w:szCs w:val="18"/>
                <w:lang w:eastAsia="cs-CZ"/>
              </w:rPr>
              <w:t>výšení atraktivity bydlení pro občany (regenerace sídlišť, modernizace)</w:t>
            </w:r>
            <w:r>
              <w:rPr>
                <w:rFonts w:eastAsia="Times New Roman" w:cs="Arial"/>
                <w:color w:val="000000"/>
                <w:sz w:val="18"/>
                <w:szCs w:val="18"/>
                <w:lang w:eastAsia="cs-CZ"/>
              </w:rPr>
              <w:t>.</w:t>
            </w:r>
          </w:p>
        </w:tc>
        <w:tc>
          <w:tcPr>
            <w:tcW w:w="1482" w:type="dxa"/>
            <w:vAlign w:val="center"/>
          </w:tcPr>
          <w:p w14:paraId="37C305B1"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40207F70" w14:textId="77777777" w:rsidTr="00C66961">
        <w:trPr>
          <w:jc w:val="center"/>
        </w:trPr>
        <w:tc>
          <w:tcPr>
            <w:tcW w:w="14039" w:type="dxa"/>
            <w:gridSpan w:val="9"/>
            <w:shd w:val="clear" w:color="auto" w:fill="FFF2CC" w:themeFill="accent4" w:themeFillTint="33"/>
            <w:vAlign w:val="center"/>
          </w:tcPr>
          <w:p w14:paraId="4EEB9E30" w14:textId="77777777" w:rsidR="00CB4A00" w:rsidRPr="002516D6" w:rsidRDefault="00CB4A00" w:rsidP="002E4092">
            <w:pPr>
              <w:pStyle w:val="Odstavecseseznamem"/>
              <w:numPr>
                <w:ilvl w:val="0"/>
                <w:numId w:val="11"/>
              </w:numPr>
              <w:jc w:val="center"/>
              <w:rPr>
                <w:rFonts w:cs="Arial"/>
                <w:b/>
                <w:bCs/>
                <w:sz w:val="18"/>
                <w:szCs w:val="18"/>
                <w:lang w:eastAsia="cs-CZ"/>
              </w:rPr>
            </w:pPr>
            <w:r w:rsidRPr="00B46552">
              <w:rPr>
                <w:rFonts w:eastAsia="Times New Roman" w:cs="Arial"/>
                <w:b/>
                <w:bCs/>
                <w:color w:val="000000"/>
                <w:sz w:val="18"/>
                <w:szCs w:val="18"/>
                <w:lang w:eastAsia="cs-CZ"/>
              </w:rPr>
              <w:t>Střední školství v Karlovarském kraji pro 21. století</w:t>
            </w:r>
          </w:p>
        </w:tc>
      </w:tr>
      <w:tr w:rsidR="00CB4A00" w14:paraId="1FEB693D" w14:textId="77777777" w:rsidTr="00C66961">
        <w:trPr>
          <w:jc w:val="center"/>
        </w:trPr>
        <w:tc>
          <w:tcPr>
            <w:tcW w:w="2547" w:type="dxa"/>
          </w:tcPr>
          <w:p w14:paraId="39C5CA06" w14:textId="77777777" w:rsidR="00CB4A00" w:rsidRDefault="00CB4A00" w:rsidP="00C66961">
            <w:pPr>
              <w:jc w:val="both"/>
              <w:rPr>
                <w:rFonts w:cs="Arial"/>
                <w:sz w:val="18"/>
                <w:szCs w:val="18"/>
                <w:lang w:eastAsia="cs-CZ"/>
              </w:rPr>
            </w:pPr>
            <w:r w:rsidRPr="00624D3D">
              <w:rPr>
                <w:rFonts w:cs="Arial"/>
                <w:b/>
                <w:bCs/>
                <w:sz w:val="18"/>
                <w:szCs w:val="18"/>
                <w:lang w:eastAsia="cs-CZ"/>
              </w:rPr>
              <w:t>Rekonstrukce/Výstavba nové budovy Střední uměleckoprůmyslové školy Karlovy Vary, p. o</w:t>
            </w:r>
            <w:r>
              <w:rPr>
                <w:rFonts w:cs="Arial"/>
                <w:sz w:val="18"/>
                <w:szCs w:val="18"/>
                <w:lang w:eastAsia="cs-CZ"/>
              </w:rPr>
              <w:t>.</w:t>
            </w:r>
            <w:r w:rsidRPr="003F6D46">
              <w:rPr>
                <w:rFonts w:cs="Arial"/>
                <w:sz w:val="18"/>
                <w:szCs w:val="18"/>
                <w:lang w:eastAsia="cs-CZ"/>
              </w:rPr>
              <w:t xml:space="preserve"> Cílem je podpora modernizace středního školství se zaměřením na tradiční obory v regionu. Jedná se především o rekonstrukci budovy Střední uměleckoprůmyslové školy v Karlových Varech, která je v havarijním stavu, nebo výstavba nové budovy Střední uměleckoprůmyslové školy v Karlových Varech.</w:t>
            </w:r>
          </w:p>
        </w:tc>
        <w:tc>
          <w:tcPr>
            <w:tcW w:w="1001" w:type="dxa"/>
          </w:tcPr>
          <w:p w14:paraId="73E415F4" w14:textId="77777777" w:rsidR="00CB4A00" w:rsidRDefault="00CB4A00" w:rsidP="00C66961">
            <w:pPr>
              <w:jc w:val="both"/>
              <w:rPr>
                <w:rFonts w:cs="Arial"/>
                <w:sz w:val="18"/>
                <w:szCs w:val="18"/>
                <w:lang w:eastAsia="cs-CZ"/>
              </w:rPr>
            </w:pPr>
            <w:r w:rsidRPr="00B46552">
              <w:rPr>
                <w:rFonts w:eastAsia="Times New Roman" w:cs="Arial"/>
                <w:color w:val="000000"/>
                <w:sz w:val="18"/>
                <w:szCs w:val="18"/>
                <w:lang w:eastAsia="cs-CZ"/>
              </w:rPr>
              <w:t>1 mld.  Kč včetně DPH</w:t>
            </w:r>
          </w:p>
        </w:tc>
        <w:tc>
          <w:tcPr>
            <w:tcW w:w="1692" w:type="dxa"/>
            <w:gridSpan w:val="2"/>
          </w:tcPr>
          <w:p w14:paraId="102B2050" w14:textId="77777777" w:rsidR="00CB4A00" w:rsidRDefault="00CB4A00" w:rsidP="00C66961">
            <w:pPr>
              <w:jc w:val="both"/>
              <w:rPr>
                <w:rFonts w:cs="Arial"/>
                <w:sz w:val="18"/>
                <w:szCs w:val="18"/>
                <w:lang w:eastAsia="cs-CZ"/>
              </w:rPr>
            </w:pPr>
            <w:r w:rsidRPr="003F6D46">
              <w:rPr>
                <w:rFonts w:cs="Arial"/>
                <w:sz w:val="18"/>
                <w:szCs w:val="18"/>
                <w:lang w:eastAsia="cs-CZ"/>
              </w:rPr>
              <w:t xml:space="preserve">OP ST a doplňkově případně další zdroje OP JAK  </w:t>
            </w:r>
          </w:p>
        </w:tc>
        <w:tc>
          <w:tcPr>
            <w:tcW w:w="2748" w:type="dxa"/>
            <w:gridSpan w:val="2"/>
          </w:tcPr>
          <w:p w14:paraId="61835B7A" w14:textId="77777777" w:rsidR="00CB4A00" w:rsidRDefault="00CB4A00" w:rsidP="00C66961">
            <w:pPr>
              <w:jc w:val="both"/>
              <w:rPr>
                <w:rFonts w:cs="Arial"/>
                <w:sz w:val="18"/>
                <w:szCs w:val="18"/>
                <w:lang w:eastAsia="cs-CZ"/>
              </w:rPr>
            </w:pPr>
            <w:r w:rsidRPr="003F6D46">
              <w:rPr>
                <w:rFonts w:cs="Arial"/>
                <w:sz w:val="18"/>
                <w:szCs w:val="18"/>
                <w:lang w:eastAsia="cs-CZ"/>
              </w:rPr>
              <w:t>Podpora tradičních oborů s dlouholetou historií na území KVK. Zvýšení zájmu a žáků a studentů o studium obecně, o tradiční obory zvlášť. Zvýšení provázanosti obsahu středoškolských a vysokoškolských programů ve strukturálně postižených regionech s potřebami trhu práce, a tedy i zvýšení atraktivity studia pro zájemce o studium</w:t>
            </w:r>
            <w:r>
              <w:rPr>
                <w:rFonts w:cs="Arial"/>
                <w:sz w:val="18"/>
                <w:szCs w:val="18"/>
                <w:lang w:eastAsia="cs-CZ"/>
              </w:rPr>
              <w:t xml:space="preserve">. </w:t>
            </w:r>
          </w:p>
        </w:tc>
        <w:tc>
          <w:tcPr>
            <w:tcW w:w="2163" w:type="dxa"/>
          </w:tcPr>
          <w:p w14:paraId="07593CED" w14:textId="77777777" w:rsidR="00CB4A00" w:rsidRDefault="00CB4A00" w:rsidP="00C66961">
            <w:pPr>
              <w:jc w:val="both"/>
              <w:rPr>
                <w:rFonts w:cs="Arial"/>
                <w:sz w:val="18"/>
                <w:szCs w:val="18"/>
                <w:lang w:eastAsia="cs-CZ"/>
              </w:rPr>
            </w:pPr>
            <w:r w:rsidRPr="003F6D46">
              <w:rPr>
                <w:rFonts w:eastAsia="Times New Roman" w:cs="Arial"/>
                <w:color w:val="000000"/>
                <w:sz w:val="18"/>
                <w:szCs w:val="18"/>
                <w:lang w:eastAsia="cs-CZ"/>
              </w:rPr>
              <w:t>Zvýšení kvality a dostupnosti infrastruktury pro vzdělávání</w:t>
            </w:r>
          </w:p>
        </w:tc>
        <w:tc>
          <w:tcPr>
            <w:tcW w:w="2406" w:type="dxa"/>
          </w:tcPr>
          <w:p w14:paraId="05830F44" w14:textId="77777777" w:rsidR="00CB4A00" w:rsidRDefault="00CB4A00" w:rsidP="00C66961">
            <w:pPr>
              <w:jc w:val="both"/>
              <w:rPr>
                <w:rFonts w:cs="Arial"/>
                <w:sz w:val="18"/>
                <w:szCs w:val="18"/>
                <w:lang w:eastAsia="cs-CZ"/>
              </w:rPr>
            </w:pPr>
            <w:r w:rsidRPr="003F6D46">
              <w:rPr>
                <w:rFonts w:cs="Arial"/>
                <w:sz w:val="18"/>
                <w:szCs w:val="18"/>
                <w:lang w:eastAsia="cs-CZ"/>
              </w:rPr>
              <w:t>Realizace projektu bude mít dopad na celé území kraje. Jedná se o střední odbornou školu, která nabízí jedinečné obory vzdělání v rámci regionu a má klíčový význam pro tradiční průmyslové obory (keramika, sklo, porcelán) KVK</w:t>
            </w:r>
            <w:r>
              <w:rPr>
                <w:rFonts w:cs="Arial"/>
                <w:sz w:val="18"/>
                <w:szCs w:val="18"/>
                <w:lang w:eastAsia="cs-CZ"/>
              </w:rPr>
              <w:t xml:space="preserve">. </w:t>
            </w:r>
          </w:p>
        </w:tc>
        <w:tc>
          <w:tcPr>
            <w:tcW w:w="1482" w:type="dxa"/>
            <w:vAlign w:val="center"/>
          </w:tcPr>
          <w:p w14:paraId="0FED5BE7" w14:textId="77777777" w:rsidR="00CB4A00" w:rsidRDefault="00CB4A00" w:rsidP="00C66961">
            <w:pPr>
              <w:jc w:val="center"/>
              <w:rPr>
                <w:rFonts w:cs="Arial"/>
                <w:sz w:val="18"/>
                <w:szCs w:val="18"/>
                <w:lang w:eastAsia="cs-CZ"/>
              </w:rPr>
            </w:pPr>
            <w:r w:rsidRPr="003F6D46">
              <w:rPr>
                <w:rFonts w:cs="Arial"/>
                <w:sz w:val="18"/>
                <w:szCs w:val="18"/>
                <w:lang w:eastAsia="cs-CZ"/>
              </w:rPr>
              <w:t>Rekonstrukce a modernizace Keramka</w:t>
            </w:r>
          </w:p>
        </w:tc>
      </w:tr>
      <w:tr w:rsidR="00CB4A00" w14:paraId="70FBEC75" w14:textId="77777777" w:rsidTr="00C66961">
        <w:trPr>
          <w:jc w:val="center"/>
        </w:trPr>
        <w:tc>
          <w:tcPr>
            <w:tcW w:w="2547" w:type="dxa"/>
          </w:tcPr>
          <w:p w14:paraId="2531051B" w14:textId="77777777" w:rsidR="00CB4A00" w:rsidRDefault="00CB4A00" w:rsidP="00C66961">
            <w:pPr>
              <w:jc w:val="both"/>
              <w:rPr>
                <w:rFonts w:cs="Arial"/>
                <w:sz w:val="18"/>
                <w:szCs w:val="18"/>
                <w:lang w:eastAsia="cs-CZ"/>
              </w:rPr>
            </w:pPr>
            <w:r w:rsidRPr="00624D3D">
              <w:rPr>
                <w:rFonts w:cs="Arial"/>
                <w:b/>
                <w:bCs/>
                <w:sz w:val="18"/>
                <w:szCs w:val="18"/>
                <w:lang w:eastAsia="cs-CZ"/>
              </w:rPr>
              <w:t>Novostavba budovy školy Střední školy živnostenské Sokolov</w:t>
            </w:r>
            <w:r w:rsidRPr="00624D3D">
              <w:rPr>
                <w:rFonts w:cs="Arial"/>
                <w:sz w:val="18"/>
                <w:szCs w:val="18"/>
                <w:lang w:eastAsia="cs-CZ"/>
              </w:rPr>
              <w:t xml:space="preserve"> na p.p.č. 386/1, k.ú. Sokolov – Novostavba samostatného pavilonu SŠŽ Sokolov, jako náhrada za nevyhovující budovu odborného výcviku v Tovární ul. a budovu v Komenského ulici v Sokolově.</w:t>
            </w:r>
          </w:p>
        </w:tc>
        <w:tc>
          <w:tcPr>
            <w:tcW w:w="1001" w:type="dxa"/>
          </w:tcPr>
          <w:p w14:paraId="649D9C45" w14:textId="77777777" w:rsidR="00CB4A00" w:rsidRDefault="00CB4A00" w:rsidP="00C66961">
            <w:pPr>
              <w:jc w:val="both"/>
              <w:rPr>
                <w:rFonts w:cs="Arial"/>
                <w:sz w:val="18"/>
                <w:szCs w:val="18"/>
                <w:lang w:eastAsia="cs-CZ"/>
              </w:rPr>
            </w:pPr>
            <w:r w:rsidRPr="00B46552">
              <w:rPr>
                <w:rFonts w:eastAsia="Times New Roman" w:cs="Arial"/>
                <w:color w:val="000000"/>
                <w:sz w:val="18"/>
                <w:szCs w:val="18"/>
                <w:lang w:eastAsia="cs-CZ"/>
              </w:rPr>
              <w:t>cca 445 mil Kč vč. DPH</w:t>
            </w:r>
          </w:p>
        </w:tc>
        <w:tc>
          <w:tcPr>
            <w:tcW w:w="1692" w:type="dxa"/>
            <w:gridSpan w:val="2"/>
          </w:tcPr>
          <w:p w14:paraId="0D80FD81" w14:textId="77777777" w:rsidR="00CB4A00" w:rsidRDefault="00CB4A00" w:rsidP="00C66961">
            <w:pPr>
              <w:jc w:val="both"/>
              <w:rPr>
                <w:rFonts w:cs="Arial"/>
                <w:sz w:val="18"/>
                <w:szCs w:val="18"/>
                <w:lang w:eastAsia="cs-CZ"/>
              </w:rPr>
            </w:pPr>
            <w:r w:rsidRPr="00B46552">
              <w:rPr>
                <w:rFonts w:eastAsia="Times New Roman" w:cs="Arial"/>
                <w:color w:val="000000"/>
                <w:sz w:val="18"/>
                <w:szCs w:val="18"/>
                <w:lang w:eastAsia="cs-CZ"/>
              </w:rPr>
              <w:t>E</w:t>
            </w:r>
            <w:r>
              <w:rPr>
                <w:rFonts w:eastAsia="Times New Roman" w:cs="Arial"/>
                <w:color w:val="000000"/>
                <w:sz w:val="18"/>
                <w:szCs w:val="18"/>
                <w:lang w:eastAsia="cs-CZ"/>
              </w:rPr>
              <w:t xml:space="preserve">U fondy </w:t>
            </w:r>
            <w:r w:rsidRPr="00B46552">
              <w:rPr>
                <w:rFonts w:eastAsia="Times New Roman" w:cs="Arial"/>
                <w:color w:val="000000"/>
                <w:sz w:val="18"/>
                <w:szCs w:val="18"/>
                <w:lang w:eastAsia="cs-CZ"/>
              </w:rPr>
              <w:t>2021+ (nástupce IROP), Národní plán obnovy</w:t>
            </w:r>
          </w:p>
        </w:tc>
        <w:tc>
          <w:tcPr>
            <w:tcW w:w="2748" w:type="dxa"/>
            <w:gridSpan w:val="2"/>
          </w:tcPr>
          <w:p w14:paraId="2889E9B3" w14:textId="77777777" w:rsidR="00CB4A00" w:rsidRPr="00624D3D" w:rsidRDefault="00CB4A00" w:rsidP="00C66961">
            <w:pPr>
              <w:jc w:val="both"/>
              <w:rPr>
                <w:rFonts w:cs="Arial"/>
                <w:sz w:val="18"/>
                <w:szCs w:val="18"/>
                <w:lang w:eastAsia="cs-CZ"/>
              </w:rPr>
            </w:pPr>
            <w:r w:rsidRPr="00624D3D">
              <w:rPr>
                <w:rFonts w:cs="Arial"/>
                <w:sz w:val="18"/>
                <w:szCs w:val="18"/>
                <w:lang w:eastAsia="cs-CZ"/>
              </w:rPr>
              <w:t>Podpora tradičních oborů s dlouholetou historií na území KVK</w:t>
            </w:r>
          </w:p>
          <w:p w14:paraId="4DD73578" w14:textId="77777777" w:rsidR="00CB4A00" w:rsidRDefault="00CB4A00" w:rsidP="00C66961">
            <w:pPr>
              <w:jc w:val="both"/>
              <w:rPr>
                <w:rFonts w:cs="Arial"/>
                <w:sz w:val="18"/>
                <w:szCs w:val="18"/>
                <w:lang w:eastAsia="cs-CZ"/>
              </w:rPr>
            </w:pPr>
            <w:r w:rsidRPr="00624D3D">
              <w:rPr>
                <w:rFonts w:cs="Arial"/>
                <w:sz w:val="18"/>
                <w:szCs w:val="18"/>
                <w:lang w:eastAsia="cs-CZ"/>
              </w:rPr>
              <w:t>Zvýšení zájmu a žáků a studentů o studium obecně, o tradiční obory zvlášť. Zvýšení provázanosti obsahu středoškolských a vysokoškolských programů ve strukturálně postižených regionech s potřebami trhu práce, a tedy i zvýšení atraktivity studia pro zájemce o studium.</w:t>
            </w:r>
          </w:p>
        </w:tc>
        <w:tc>
          <w:tcPr>
            <w:tcW w:w="2163" w:type="dxa"/>
          </w:tcPr>
          <w:p w14:paraId="542B1455" w14:textId="77777777" w:rsidR="00CB4A00" w:rsidRDefault="00CB4A00" w:rsidP="00C66961">
            <w:pPr>
              <w:jc w:val="both"/>
              <w:rPr>
                <w:rFonts w:cs="Arial"/>
                <w:sz w:val="18"/>
                <w:szCs w:val="18"/>
                <w:lang w:eastAsia="cs-CZ"/>
              </w:rPr>
            </w:pPr>
            <w:r w:rsidRPr="00624D3D">
              <w:rPr>
                <w:rFonts w:cs="Arial"/>
                <w:sz w:val="18"/>
                <w:szCs w:val="18"/>
                <w:lang w:eastAsia="cs-CZ"/>
              </w:rPr>
              <w:t>Zvýšení kvality a dostupnosti infrastruktury pro vzdělávání</w:t>
            </w:r>
          </w:p>
        </w:tc>
        <w:tc>
          <w:tcPr>
            <w:tcW w:w="2406" w:type="dxa"/>
          </w:tcPr>
          <w:p w14:paraId="13B7F59F" w14:textId="77777777" w:rsidR="00CB4A00" w:rsidRPr="00624D3D" w:rsidRDefault="00CB4A00" w:rsidP="00C66961">
            <w:pPr>
              <w:jc w:val="both"/>
              <w:rPr>
                <w:rFonts w:cs="Arial"/>
                <w:sz w:val="18"/>
                <w:szCs w:val="18"/>
                <w:lang w:eastAsia="cs-CZ"/>
              </w:rPr>
            </w:pPr>
            <w:r w:rsidRPr="00624D3D">
              <w:rPr>
                <w:rFonts w:cs="Arial"/>
                <w:sz w:val="18"/>
                <w:szCs w:val="18"/>
                <w:lang w:eastAsia="cs-CZ"/>
              </w:rPr>
              <w:t>Realizace projektu bude mít dopad na celé území kraje, zvláště pak na oblast Sokolovska.</w:t>
            </w:r>
          </w:p>
          <w:p w14:paraId="13568817" w14:textId="77777777" w:rsidR="00CB4A00" w:rsidRPr="00624D3D" w:rsidRDefault="00CB4A00" w:rsidP="00C66961">
            <w:pPr>
              <w:jc w:val="both"/>
              <w:rPr>
                <w:rFonts w:cs="Arial"/>
                <w:sz w:val="18"/>
                <w:szCs w:val="18"/>
                <w:lang w:eastAsia="cs-CZ"/>
              </w:rPr>
            </w:pPr>
            <w:r w:rsidRPr="00624D3D">
              <w:rPr>
                <w:rFonts w:cs="Arial"/>
                <w:sz w:val="18"/>
                <w:szCs w:val="18"/>
                <w:lang w:eastAsia="cs-CZ"/>
              </w:rPr>
              <w:t>Projektová příprava zahájena v roce 2022 – cca 18–24 měs.</w:t>
            </w:r>
          </w:p>
          <w:p w14:paraId="79AF9E16" w14:textId="77777777" w:rsidR="00CB4A00" w:rsidRDefault="00CB4A00" w:rsidP="00C66961">
            <w:pPr>
              <w:jc w:val="both"/>
              <w:rPr>
                <w:rFonts w:cs="Arial"/>
                <w:sz w:val="18"/>
                <w:szCs w:val="18"/>
                <w:lang w:eastAsia="cs-CZ"/>
              </w:rPr>
            </w:pPr>
            <w:r w:rsidRPr="00624D3D">
              <w:rPr>
                <w:rFonts w:cs="Arial"/>
                <w:sz w:val="18"/>
                <w:szCs w:val="18"/>
                <w:lang w:eastAsia="cs-CZ"/>
              </w:rPr>
              <w:t>Realizace stavební části vč. vybavení – 24 měs. Konec realizace 31.12.2026 v případě zajištění financování z dotačních zdrojů</w:t>
            </w:r>
            <w:r>
              <w:rPr>
                <w:rFonts w:cs="Arial"/>
                <w:sz w:val="18"/>
                <w:szCs w:val="18"/>
                <w:lang w:eastAsia="cs-CZ"/>
              </w:rPr>
              <w:t>.</w:t>
            </w:r>
          </w:p>
        </w:tc>
        <w:tc>
          <w:tcPr>
            <w:tcW w:w="1482" w:type="dxa"/>
            <w:vAlign w:val="center"/>
          </w:tcPr>
          <w:p w14:paraId="6150B9FC"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2BCD5E83" w14:textId="77777777" w:rsidTr="00C66961">
        <w:trPr>
          <w:jc w:val="center"/>
        </w:trPr>
        <w:tc>
          <w:tcPr>
            <w:tcW w:w="2547" w:type="dxa"/>
          </w:tcPr>
          <w:p w14:paraId="0BAB44A3" w14:textId="77777777" w:rsidR="00CB4A00" w:rsidRPr="00624D3D" w:rsidRDefault="00CB4A00" w:rsidP="00C66961">
            <w:pPr>
              <w:jc w:val="both"/>
              <w:rPr>
                <w:rFonts w:cs="Arial"/>
                <w:b/>
                <w:bCs/>
                <w:sz w:val="18"/>
                <w:szCs w:val="18"/>
                <w:lang w:eastAsia="cs-CZ"/>
              </w:rPr>
            </w:pPr>
            <w:r w:rsidRPr="00624D3D">
              <w:rPr>
                <w:rFonts w:cs="Arial"/>
                <w:b/>
                <w:bCs/>
                <w:sz w:val="18"/>
                <w:szCs w:val="18"/>
                <w:lang w:eastAsia="cs-CZ"/>
              </w:rPr>
              <w:t xml:space="preserve">Rekonstrukce objektu ISŠ Cheb – Komenského 29 – Centrum technického a přírodovědného vzdělávání; </w:t>
            </w:r>
            <w:r w:rsidRPr="00624D3D">
              <w:rPr>
                <w:rFonts w:cs="Arial"/>
                <w:sz w:val="18"/>
                <w:szCs w:val="18"/>
                <w:lang w:eastAsia="cs-CZ"/>
              </w:rPr>
              <w:t xml:space="preserve">Cílem </w:t>
            </w:r>
            <w:r w:rsidRPr="00624D3D">
              <w:rPr>
                <w:rFonts w:cs="Arial"/>
                <w:sz w:val="18"/>
                <w:szCs w:val="18"/>
                <w:lang w:eastAsia="cs-CZ"/>
              </w:rPr>
              <w:lastRenderedPageBreak/>
              <w:t>rekonstrukce je vybudování moderního centra teoretické a praktické výuky technických předmětů a teoretické a praktické (laboratorní) výuky přírodovědných předmětů s vazbou na školní vzdělávací programy učebních a studijních oborů vyučovaných na škole.</w:t>
            </w:r>
          </w:p>
        </w:tc>
        <w:tc>
          <w:tcPr>
            <w:tcW w:w="1001" w:type="dxa"/>
          </w:tcPr>
          <w:p w14:paraId="4474C5B4" w14:textId="77777777" w:rsidR="00CB4A00" w:rsidRPr="00B46552" w:rsidRDefault="00CB4A00" w:rsidP="00C66961">
            <w:pPr>
              <w:rPr>
                <w:rFonts w:eastAsia="Times New Roman" w:cs="Arial"/>
                <w:color w:val="000000"/>
                <w:sz w:val="18"/>
                <w:szCs w:val="18"/>
                <w:lang w:eastAsia="cs-CZ"/>
              </w:rPr>
            </w:pPr>
            <w:r w:rsidRPr="00B46552">
              <w:rPr>
                <w:rFonts w:eastAsia="Times New Roman" w:cs="Arial"/>
                <w:color w:val="000000"/>
                <w:sz w:val="18"/>
                <w:szCs w:val="18"/>
                <w:lang w:eastAsia="cs-CZ"/>
              </w:rPr>
              <w:lastRenderedPageBreak/>
              <w:t>120 mil. Kč vč. DPH</w:t>
            </w:r>
          </w:p>
        </w:tc>
        <w:tc>
          <w:tcPr>
            <w:tcW w:w="1692" w:type="dxa"/>
            <w:gridSpan w:val="2"/>
          </w:tcPr>
          <w:p w14:paraId="4ED175D6" w14:textId="77777777" w:rsidR="00CB4A00" w:rsidRPr="00B46552" w:rsidRDefault="00CB4A00" w:rsidP="00C66961">
            <w:pPr>
              <w:jc w:val="both"/>
              <w:rPr>
                <w:rFonts w:eastAsia="Times New Roman" w:cs="Arial"/>
                <w:color w:val="000000"/>
                <w:sz w:val="18"/>
                <w:szCs w:val="18"/>
                <w:lang w:eastAsia="cs-CZ"/>
              </w:rPr>
            </w:pPr>
            <w:r w:rsidRPr="00624D3D">
              <w:rPr>
                <w:rFonts w:eastAsia="Times New Roman" w:cs="Arial"/>
                <w:color w:val="000000"/>
                <w:sz w:val="18"/>
                <w:szCs w:val="18"/>
                <w:lang w:eastAsia="cs-CZ"/>
              </w:rPr>
              <w:t>EU fondy 2021+ (IROP)</w:t>
            </w:r>
          </w:p>
        </w:tc>
        <w:tc>
          <w:tcPr>
            <w:tcW w:w="2748" w:type="dxa"/>
            <w:gridSpan w:val="2"/>
          </w:tcPr>
          <w:p w14:paraId="54A27EB7" w14:textId="77777777" w:rsidR="00CB4A00" w:rsidRPr="00624D3D" w:rsidRDefault="00CB4A00" w:rsidP="00C66961">
            <w:pPr>
              <w:jc w:val="both"/>
              <w:rPr>
                <w:rFonts w:cs="Arial"/>
                <w:sz w:val="18"/>
                <w:szCs w:val="18"/>
                <w:lang w:eastAsia="cs-CZ"/>
              </w:rPr>
            </w:pPr>
            <w:r w:rsidRPr="00624D3D">
              <w:rPr>
                <w:rFonts w:cs="Arial"/>
                <w:sz w:val="18"/>
                <w:szCs w:val="18"/>
                <w:lang w:eastAsia="cs-CZ"/>
              </w:rPr>
              <w:t xml:space="preserve">Podpora tradičních oborů s dlouholetou historií na území KVK. Zvýšení zájmu a žáků a studentů o studium obecně, o tradiční obory zvlášť. Zvýšení </w:t>
            </w:r>
            <w:r w:rsidRPr="00624D3D">
              <w:rPr>
                <w:rFonts w:cs="Arial"/>
                <w:sz w:val="18"/>
                <w:szCs w:val="18"/>
                <w:lang w:eastAsia="cs-CZ"/>
              </w:rPr>
              <w:lastRenderedPageBreak/>
              <w:t>provázanosti obsahu středoškolských a vysokoškolských programů ve strukturálně postižených regionech s potřebami trhu práce, a tedy i zvýšení atraktivity studia pro zájemce o studium.</w:t>
            </w:r>
          </w:p>
        </w:tc>
        <w:tc>
          <w:tcPr>
            <w:tcW w:w="2163" w:type="dxa"/>
          </w:tcPr>
          <w:p w14:paraId="78E40280" w14:textId="77777777" w:rsidR="00CB4A00" w:rsidRPr="00624D3D" w:rsidRDefault="00CB4A00" w:rsidP="00C66961">
            <w:pPr>
              <w:jc w:val="both"/>
              <w:rPr>
                <w:rFonts w:cs="Arial"/>
                <w:sz w:val="18"/>
                <w:szCs w:val="18"/>
                <w:lang w:eastAsia="cs-CZ"/>
              </w:rPr>
            </w:pPr>
            <w:r w:rsidRPr="00624D3D">
              <w:rPr>
                <w:rFonts w:cs="Arial"/>
                <w:sz w:val="18"/>
                <w:szCs w:val="18"/>
                <w:lang w:eastAsia="cs-CZ"/>
              </w:rPr>
              <w:lastRenderedPageBreak/>
              <w:t>Zvýšení kvality a dostupnosti infrastruktury pro vzdělávání.</w:t>
            </w:r>
          </w:p>
        </w:tc>
        <w:tc>
          <w:tcPr>
            <w:tcW w:w="2406" w:type="dxa"/>
          </w:tcPr>
          <w:p w14:paraId="5E40E867" w14:textId="77777777" w:rsidR="00CB4A00" w:rsidRPr="00624D3D" w:rsidRDefault="00CB4A00" w:rsidP="00C66961">
            <w:pPr>
              <w:jc w:val="both"/>
              <w:rPr>
                <w:rFonts w:cs="Arial"/>
                <w:sz w:val="18"/>
                <w:szCs w:val="18"/>
                <w:lang w:eastAsia="cs-CZ"/>
              </w:rPr>
            </w:pPr>
            <w:r w:rsidRPr="00B46552">
              <w:rPr>
                <w:rFonts w:eastAsia="Times New Roman" w:cs="Arial"/>
                <w:color w:val="000000"/>
                <w:sz w:val="18"/>
                <w:szCs w:val="18"/>
                <w:lang w:eastAsia="cs-CZ"/>
              </w:rPr>
              <w:t>Realizace projektu bude mít dopad na celé území kraje</w:t>
            </w:r>
          </w:p>
        </w:tc>
        <w:tc>
          <w:tcPr>
            <w:tcW w:w="1482" w:type="dxa"/>
            <w:vAlign w:val="center"/>
          </w:tcPr>
          <w:p w14:paraId="7B2093A7"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6A41681E" w14:textId="77777777" w:rsidTr="00C66961">
        <w:trPr>
          <w:jc w:val="center"/>
        </w:trPr>
        <w:tc>
          <w:tcPr>
            <w:tcW w:w="14039" w:type="dxa"/>
            <w:gridSpan w:val="9"/>
            <w:shd w:val="clear" w:color="auto" w:fill="FFF2CC" w:themeFill="accent4" w:themeFillTint="33"/>
            <w:vAlign w:val="center"/>
          </w:tcPr>
          <w:p w14:paraId="00AF9059" w14:textId="77777777" w:rsidR="00CB4A00" w:rsidRPr="00976471" w:rsidRDefault="00CB4A00" w:rsidP="002E4092">
            <w:pPr>
              <w:pStyle w:val="Odstavecseseznamem"/>
              <w:numPr>
                <w:ilvl w:val="0"/>
                <w:numId w:val="11"/>
              </w:numPr>
              <w:jc w:val="center"/>
              <w:rPr>
                <w:rFonts w:cs="Arial"/>
                <w:b/>
                <w:bCs/>
                <w:sz w:val="18"/>
                <w:szCs w:val="18"/>
                <w:lang w:eastAsia="cs-CZ"/>
              </w:rPr>
            </w:pPr>
            <w:r w:rsidRPr="00B46552">
              <w:rPr>
                <w:rFonts w:eastAsia="Times New Roman" w:cs="Arial"/>
                <w:b/>
                <w:bCs/>
                <w:color w:val="000000"/>
                <w:sz w:val="18"/>
                <w:szCs w:val="18"/>
                <w:lang w:eastAsia="cs-CZ"/>
              </w:rPr>
              <w:t>Společné operační středisko složek Integrovaného záchranného systému</w:t>
            </w:r>
          </w:p>
        </w:tc>
      </w:tr>
      <w:tr w:rsidR="00CB4A00" w14:paraId="429A9B59" w14:textId="77777777" w:rsidTr="00C66961">
        <w:trPr>
          <w:jc w:val="center"/>
        </w:trPr>
        <w:tc>
          <w:tcPr>
            <w:tcW w:w="2547" w:type="dxa"/>
          </w:tcPr>
          <w:p w14:paraId="6A44332B" w14:textId="77777777" w:rsidR="00CB4A00" w:rsidRDefault="00CB4A00" w:rsidP="00C66961">
            <w:pPr>
              <w:jc w:val="both"/>
              <w:rPr>
                <w:rFonts w:cs="Arial"/>
                <w:sz w:val="18"/>
                <w:szCs w:val="18"/>
                <w:lang w:eastAsia="cs-CZ"/>
              </w:rPr>
            </w:pPr>
            <w:r w:rsidRPr="00976471">
              <w:rPr>
                <w:rFonts w:cs="Arial"/>
                <w:sz w:val="18"/>
                <w:szCs w:val="18"/>
                <w:lang w:eastAsia="cs-CZ"/>
              </w:rPr>
              <w:t xml:space="preserve">Výstavba společného operační střediska složek Integrovaného záchranného systému v areálu krajského úřadu KVK. Objekt </w:t>
            </w:r>
            <w:proofErr w:type="gramStart"/>
            <w:r w:rsidRPr="00976471">
              <w:rPr>
                <w:rFonts w:cs="Arial"/>
                <w:sz w:val="18"/>
                <w:szCs w:val="18"/>
                <w:lang w:eastAsia="cs-CZ"/>
              </w:rPr>
              <w:t>tvoří</w:t>
            </w:r>
            <w:proofErr w:type="gramEnd"/>
            <w:r w:rsidRPr="00976471">
              <w:rPr>
                <w:rFonts w:cs="Arial"/>
                <w:sz w:val="18"/>
                <w:szCs w:val="18"/>
                <w:lang w:eastAsia="cs-CZ"/>
              </w:rPr>
              <w:t xml:space="preserve"> mimo operační střediska složek IZS také navazující prostory pro krizové štáby ORP Karlovy Vary, krizový štáb KVK a Informační středisko IZS pro informování obyvatel při mimořádných událostech velkého rozsahu.</w:t>
            </w:r>
          </w:p>
        </w:tc>
        <w:tc>
          <w:tcPr>
            <w:tcW w:w="1001" w:type="dxa"/>
          </w:tcPr>
          <w:p w14:paraId="556BEFFB" w14:textId="77777777" w:rsidR="00CB4A00" w:rsidRDefault="00CB4A00" w:rsidP="00C66961">
            <w:pPr>
              <w:jc w:val="both"/>
              <w:rPr>
                <w:rFonts w:cs="Arial"/>
                <w:sz w:val="18"/>
                <w:szCs w:val="18"/>
                <w:lang w:eastAsia="cs-CZ"/>
              </w:rPr>
            </w:pPr>
            <w:r w:rsidRPr="00976471">
              <w:rPr>
                <w:rFonts w:cs="Arial"/>
                <w:sz w:val="18"/>
                <w:szCs w:val="18"/>
                <w:lang w:eastAsia="cs-CZ"/>
              </w:rPr>
              <w:t>330 mil. Kč včetně DPH</w:t>
            </w:r>
          </w:p>
        </w:tc>
        <w:tc>
          <w:tcPr>
            <w:tcW w:w="1692" w:type="dxa"/>
            <w:gridSpan w:val="2"/>
          </w:tcPr>
          <w:p w14:paraId="0E46E272" w14:textId="77777777" w:rsidR="00CB4A00" w:rsidRPr="00976471" w:rsidRDefault="00CB4A00" w:rsidP="00C66961">
            <w:pPr>
              <w:jc w:val="both"/>
              <w:rPr>
                <w:rFonts w:cs="Arial"/>
                <w:sz w:val="18"/>
                <w:szCs w:val="18"/>
                <w:lang w:eastAsia="cs-CZ"/>
              </w:rPr>
            </w:pPr>
            <w:r w:rsidRPr="00976471">
              <w:rPr>
                <w:rFonts w:cs="Arial"/>
                <w:sz w:val="18"/>
                <w:szCs w:val="18"/>
                <w:lang w:eastAsia="cs-CZ"/>
              </w:rPr>
              <w:t>EU fondy 2021+ (nástupce IROP)</w:t>
            </w:r>
          </w:p>
          <w:p w14:paraId="5069F7CB" w14:textId="77777777" w:rsidR="00CB4A00" w:rsidRDefault="00CB4A00" w:rsidP="00C66961">
            <w:pPr>
              <w:jc w:val="both"/>
              <w:rPr>
                <w:rFonts w:cs="Arial"/>
                <w:sz w:val="18"/>
                <w:szCs w:val="18"/>
                <w:lang w:eastAsia="cs-CZ"/>
              </w:rPr>
            </w:pPr>
            <w:r w:rsidRPr="00976471">
              <w:rPr>
                <w:rFonts w:cs="Arial"/>
                <w:sz w:val="18"/>
                <w:szCs w:val="18"/>
                <w:lang w:eastAsia="cs-CZ"/>
              </w:rPr>
              <w:t>Národní dotační tituly</w:t>
            </w:r>
          </w:p>
        </w:tc>
        <w:tc>
          <w:tcPr>
            <w:tcW w:w="2748" w:type="dxa"/>
            <w:gridSpan w:val="2"/>
          </w:tcPr>
          <w:p w14:paraId="0C54126C" w14:textId="77777777" w:rsidR="00CB4A00" w:rsidRDefault="00CB4A00" w:rsidP="00C66961">
            <w:pPr>
              <w:jc w:val="both"/>
              <w:rPr>
                <w:rFonts w:cs="Arial"/>
                <w:sz w:val="18"/>
                <w:szCs w:val="18"/>
                <w:lang w:eastAsia="cs-CZ"/>
              </w:rPr>
            </w:pPr>
            <w:r w:rsidRPr="00976471">
              <w:rPr>
                <w:rFonts w:cs="Arial"/>
                <w:sz w:val="18"/>
                <w:szCs w:val="18"/>
                <w:lang w:eastAsia="cs-CZ"/>
              </w:rPr>
              <w:t>Nepřímé dopady: vyšší kvalita poskytovaných služeb IZS občanům na území kraje; snížení škod na zdraví osob a majetku v důsledku efektivnějšího koordinování záchranných prací při mimořádných událostech na území kraje.</w:t>
            </w:r>
          </w:p>
        </w:tc>
        <w:tc>
          <w:tcPr>
            <w:tcW w:w="2163" w:type="dxa"/>
          </w:tcPr>
          <w:p w14:paraId="10536D63" w14:textId="77777777" w:rsidR="00CB4A00" w:rsidRDefault="00CB4A00" w:rsidP="00C66961">
            <w:pPr>
              <w:jc w:val="both"/>
              <w:rPr>
                <w:rFonts w:cs="Arial"/>
                <w:sz w:val="18"/>
                <w:szCs w:val="18"/>
                <w:lang w:eastAsia="cs-CZ"/>
              </w:rPr>
            </w:pPr>
            <w:r w:rsidRPr="00976471">
              <w:rPr>
                <w:rFonts w:cs="Arial"/>
                <w:sz w:val="18"/>
                <w:szCs w:val="18"/>
                <w:lang w:eastAsia="cs-CZ"/>
              </w:rPr>
              <w:t>Zefektivnění provádění záchranářských prací a krizového řízení na území kraje z jednoho centra koordinace záchranných prací. Společné operační středisko složek IZS bude působit ve prospěch všech občanů a návštěvníků kraje, orgány veřejné správy a podnikající subjekty na území KVK. Zvýšení odolnosti území proti hybridním hrozbám</w:t>
            </w:r>
          </w:p>
        </w:tc>
        <w:tc>
          <w:tcPr>
            <w:tcW w:w="2406" w:type="dxa"/>
          </w:tcPr>
          <w:p w14:paraId="6B98329F" w14:textId="77777777" w:rsidR="00CB4A00" w:rsidRPr="00976471" w:rsidRDefault="00CB4A00" w:rsidP="00C66961">
            <w:pPr>
              <w:jc w:val="both"/>
              <w:rPr>
                <w:rFonts w:cs="Arial"/>
                <w:sz w:val="18"/>
                <w:szCs w:val="18"/>
                <w:lang w:eastAsia="cs-CZ"/>
              </w:rPr>
            </w:pPr>
            <w:r w:rsidRPr="00976471">
              <w:rPr>
                <w:rFonts w:cs="Arial"/>
                <w:sz w:val="18"/>
                <w:szCs w:val="18"/>
                <w:lang w:eastAsia="cs-CZ"/>
              </w:rPr>
              <w:t xml:space="preserve">Zefektivnění zásahů díky účelnější součinnosti řídících struktur zapojených složek IZS.    </w:t>
            </w:r>
          </w:p>
          <w:p w14:paraId="48DAFECA" w14:textId="77777777" w:rsidR="00CB4A00" w:rsidRDefault="00CB4A00" w:rsidP="00C66961">
            <w:pPr>
              <w:jc w:val="both"/>
              <w:rPr>
                <w:rFonts w:cs="Arial"/>
                <w:sz w:val="18"/>
                <w:szCs w:val="18"/>
                <w:lang w:eastAsia="cs-CZ"/>
              </w:rPr>
            </w:pPr>
            <w:r w:rsidRPr="00976471">
              <w:rPr>
                <w:rFonts w:cs="Arial"/>
                <w:sz w:val="18"/>
                <w:szCs w:val="18"/>
                <w:lang w:eastAsia="cs-CZ"/>
              </w:rPr>
              <w:t>Snížení výše škod na zdraví a majetku občanů, orgánů veřejné správy a podnikatelských subjektů působících na území KVK.</w:t>
            </w:r>
          </w:p>
        </w:tc>
        <w:tc>
          <w:tcPr>
            <w:tcW w:w="1482" w:type="dxa"/>
            <w:vAlign w:val="center"/>
          </w:tcPr>
          <w:p w14:paraId="146D5D22"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692DE7D0" w14:textId="77777777" w:rsidTr="00C66961">
        <w:trPr>
          <w:jc w:val="center"/>
        </w:trPr>
        <w:tc>
          <w:tcPr>
            <w:tcW w:w="14039" w:type="dxa"/>
            <w:gridSpan w:val="9"/>
            <w:shd w:val="clear" w:color="auto" w:fill="FFF2CC" w:themeFill="accent4" w:themeFillTint="33"/>
          </w:tcPr>
          <w:p w14:paraId="40466F70" w14:textId="77777777" w:rsidR="00CB4A00" w:rsidRPr="00976471" w:rsidRDefault="00CB4A00" w:rsidP="002E4092">
            <w:pPr>
              <w:pStyle w:val="Odstavecseseznamem"/>
              <w:numPr>
                <w:ilvl w:val="0"/>
                <w:numId w:val="11"/>
              </w:numPr>
              <w:jc w:val="center"/>
              <w:rPr>
                <w:rFonts w:cs="Arial"/>
                <w:b/>
                <w:bCs/>
                <w:sz w:val="18"/>
                <w:szCs w:val="18"/>
                <w:lang w:eastAsia="cs-CZ"/>
              </w:rPr>
            </w:pPr>
            <w:r w:rsidRPr="00976471">
              <w:rPr>
                <w:rFonts w:eastAsia="Times New Roman" w:cs="Arial"/>
                <w:b/>
                <w:bCs/>
                <w:color w:val="000000"/>
                <w:sz w:val="18"/>
                <w:szCs w:val="18"/>
                <w:lang w:eastAsia="cs-CZ"/>
              </w:rPr>
              <w:t>Modernizace a obnova přístrojového vybavení ve vybraných odděleních nemocnic poskytujících akutní lůžkovou péči na území Karlovarského kraje</w:t>
            </w:r>
          </w:p>
        </w:tc>
      </w:tr>
      <w:tr w:rsidR="00CB4A00" w14:paraId="5245EDF9" w14:textId="77777777" w:rsidTr="00C66961">
        <w:trPr>
          <w:jc w:val="center"/>
        </w:trPr>
        <w:tc>
          <w:tcPr>
            <w:tcW w:w="2547" w:type="dxa"/>
          </w:tcPr>
          <w:p w14:paraId="21230562" w14:textId="77777777" w:rsidR="00CB4A00" w:rsidRDefault="00CB4A00" w:rsidP="00C66961">
            <w:pPr>
              <w:jc w:val="both"/>
              <w:rPr>
                <w:rFonts w:cs="Arial"/>
                <w:sz w:val="18"/>
                <w:szCs w:val="18"/>
                <w:lang w:eastAsia="cs-CZ"/>
              </w:rPr>
            </w:pPr>
            <w:r w:rsidRPr="00B46552">
              <w:rPr>
                <w:rFonts w:eastAsia="Times New Roman" w:cs="Arial"/>
                <w:b/>
                <w:bCs/>
                <w:color w:val="000000"/>
                <w:sz w:val="18"/>
                <w:szCs w:val="18"/>
                <w:lang w:eastAsia="cs-CZ"/>
              </w:rPr>
              <w:t xml:space="preserve">Modernizace a obnova přístrojového vybavení </w:t>
            </w:r>
            <w:r w:rsidRPr="009278A0">
              <w:rPr>
                <w:rFonts w:eastAsia="Times New Roman" w:cs="Arial"/>
                <w:color w:val="000000"/>
                <w:sz w:val="18"/>
                <w:szCs w:val="18"/>
                <w:lang w:eastAsia="cs-CZ"/>
              </w:rPr>
              <w:t xml:space="preserve">ve vybraných odděleních nemocnice </w:t>
            </w:r>
            <w:r w:rsidRPr="00B46552">
              <w:rPr>
                <w:rFonts w:eastAsia="Times New Roman" w:cs="Arial"/>
                <w:b/>
                <w:bCs/>
                <w:color w:val="000000"/>
                <w:sz w:val="18"/>
                <w:szCs w:val="18"/>
                <w:lang w:eastAsia="cs-CZ"/>
              </w:rPr>
              <w:t>Cheb</w:t>
            </w:r>
          </w:p>
        </w:tc>
        <w:tc>
          <w:tcPr>
            <w:tcW w:w="1001" w:type="dxa"/>
          </w:tcPr>
          <w:p w14:paraId="57924CE1" w14:textId="77777777" w:rsidR="00CB4A00" w:rsidRPr="00456702" w:rsidRDefault="00CB4A00" w:rsidP="00C66961">
            <w:pPr>
              <w:jc w:val="both"/>
              <w:rPr>
                <w:rFonts w:cs="Arial"/>
                <w:sz w:val="18"/>
                <w:szCs w:val="18"/>
                <w:lang w:eastAsia="cs-CZ"/>
              </w:rPr>
            </w:pPr>
            <w:r w:rsidRPr="00456702">
              <w:rPr>
                <w:rFonts w:cs="Arial"/>
                <w:sz w:val="18"/>
                <w:szCs w:val="18"/>
                <w:lang w:eastAsia="cs-CZ"/>
              </w:rPr>
              <w:t>156.830.000 Kč bez DPH, tj. 189.764.000 Kč vč.</w:t>
            </w:r>
          </w:p>
          <w:p w14:paraId="229C2A22" w14:textId="77777777" w:rsidR="00CB4A00" w:rsidRDefault="00CB4A00" w:rsidP="00C66961">
            <w:pPr>
              <w:jc w:val="both"/>
              <w:rPr>
                <w:rFonts w:cs="Arial"/>
                <w:sz w:val="18"/>
                <w:szCs w:val="18"/>
                <w:lang w:eastAsia="cs-CZ"/>
              </w:rPr>
            </w:pPr>
            <w:r w:rsidRPr="00456702">
              <w:rPr>
                <w:rFonts w:cs="Arial"/>
                <w:sz w:val="18"/>
                <w:szCs w:val="18"/>
                <w:lang w:eastAsia="cs-CZ"/>
              </w:rPr>
              <w:t>DPH</w:t>
            </w:r>
          </w:p>
        </w:tc>
        <w:tc>
          <w:tcPr>
            <w:tcW w:w="1692" w:type="dxa"/>
            <w:gridSpan w:val="2"/>
            <w:vMerge w:val="restart"/>
            <w:vAlign w:val="center"/>
          </w:tcPr>
          <w:p w14:paraId="5C091E63" w14:textId="77777777" w:rsidR="00CB4A00" w:rsidRDefault="00CB4A00" w:rsidP="00C66961">
            <w:pPr>
              <w:jc w:val="both"/>
              <w:rPr>
                <w:rFonts w:cs="Arial"/>
                <w:sz w:val="18"/>
                <w:szCs w:val="18"/>
                <w:lang w:eastAsia="cs-CZ"/>
              </w:rPr>
            </w:pPr>
            <w:r>
              <w:rPr>
                <w:rFonts w:cs="Arial"/>
                <w:sz w:val="18"/>
                <w:szCs w:val="18"/>
                <w:lang w:eastAsia="cs-CZ"/>
              </w:rPr>
              <w:t>Není definováno</w:t>
            </w:r>
          </w:p>
          <w:p w14:paraId="64DF931B" w14:textId="77777777" w:rsidR="00CB4A00" w:rsidRDefault="00CB4A00" w:rsidP="00C66961">
            <w:pPr>
              <w:jc w:val="both"/>
              <w:rPr>
                <w:rFonts w:cs="Arial"/>
                <w:sz w:val="18"/>
                <w:szCs w:val="18"/>
                <w:lang w:eastAsia="cs-CZ"/>
              </w:rPr>
            </w:pPr>
          </w:p>
        </w:tc>
        <w:tc>
          <w:tcPr>
            <w:tcW w:w="2748" w:type="dxa"/>
            <w:gridSpan w:val="2"/>
            <w:vMerge w:val="restart"/>
            <w:vAlign w:val="center"/>
          </w:tcPr>
          <w:p w14:paraId="701B5629" w14:textId="77777777" w:rsidR="00CB4A00" w:rsidRPr="00456702" w:rsidRDefault="00CB4A00" w:rsidP="00BB5390">
            <w:pPr>
              <w:pStyle w:val="Odstavecseseznamem"/>
              <w:numPr>
                <w:ilvl w:val="0"/>
                <w:numId w:val="1"/>
              </w:numPr>
              <w:jc w:val="center"/>
              <w:rPr>
                <w:rFonts w:cs="Arial"/>
                <w:sz w:val="18"/>
                <w:szCs w:val="18"/>
                <w:lang w:eastAsia="cs-CZ"/>
              </w:rPr>
            </w:pPr>
          </w:p>
        </w:tc>
        <w:tc>
          <w:tcPr>
            <w:tcW w:w="2163" w:type="dxa"/>
            <w:vMerge w:val="restart"/>
            <w:vAlign w:val="center"/>
          </w:tcPr>
          <w:p w14:paraId="63C55D8D" w14:textId="77777777" w:rsidR="00CB4A00" w:rsidRDefault="00CB4A00" w:rsidP="00C66961">
            <w:pPr>
              <w:jc w:val="center"/>
              <w:rPr>
                <w:rFonts w:cs="Arial"/>
                <w:sz w:val="18"/>
                <w:szCs w:val="18"/>
                <w:lang w:eastAsia="cs-CZ"/>
              </w:rPr>
            </w:pPr>
            <w:r w:rsidRPr="00456702">
              <w:rPr>
                <w:rFonts w:cs="Arial"/>
                <w:sz w:val="18"/>
                <w:szCs w:val="18"/>
                <w:lang w:eastAsia="cs-CZ"/>
              </w:rPr>
              <w:t>Zkvalitnění zdravotnictví v KVK</w:t>
            </w:r>
          </w:p>
        </w:tc>
        <w:tc>
          <w:tcPr>
            <w:tcW w:w="2406" w:type="dxa"/>
            <w:vMerge w:val="restart"/>
            <w:vAlign w:val="center"/>
          </w:tcPr>
          <w:p w14:paraId="25A2D167" w14:textId="77777777" w:rsidR="00CB4A00" w:rsidRDefault="00CB4A00" w:rsidP="00C66961">
            <w:pPr>
              <w:jc w:val="both"/>
              <w:rPr>
                <w:rFonts w:cs="Arial"/>
                <w:sz w:val="18"/>
                <w:szCs w:val="18"/>
                <w:lang w:eastAsia="cs-CZ"/>
              </w:rPr>
            </w:pPr>
            <w:r w:rsidRPr="00456702">
              <w:rPr>
                <w:rFonts w:cs="Arial"/>
                <w:sz w:val="18"/>
                <w:szCs w:val="18"/>
                <w:lang w:eastAsia="cs-CZ"/>
              </w:rPr>
              <w:t>Obyvatelé a návštěvníci KVK</w:t>
            </w:r>
          </w:p>
        </w:tc>
        <w:tc>
          <w:tcPr>
            <w:tcW w:w="1482" w:type="dxa"/>
            <w:vMerge w:val="restart"/>
            <w:vAlign w:val="center"/>
          </w:tcPr>
          <w:p w14:paraId="72481476"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6C85F6BB" w14:textId="77777777" w:rsidTr="00C66961">
        <w:trPr>
          <w:jc w:val="center"/>
        </w:trPr>
        <w:tc>
          <w:tcPr>
            <w:tcW w:w="2547" w:type="dxa"/>
          </w:tcPr>
          <w:p w14:paraId="5FC75414" w14:textId="77777777" w:rsidR="00CB4A00" w:rsidRDefault="00CB4A00" w:rsidP="00C66961">
            <w:pPr>
              <w:jc w:val="both"/>
              <w:rPr>
                <w:rFonts w:cs="Arial"/>
                <w:sz w:val="18"/>
                <w:szCs w:val="18"/>
                <w:lang w:eastAsia="cs-CZ"/>
              </w:rPr>
            </w:pPr>
            <w:r w:rsidRPr="00B46552">
              <w:rPr>
                <w:rFonts w:eastAsia="Times New Roman" w:cs="Arial"/>
                <w:b/>
                <w:bCs/>
                <w:color w:val="000000"/>
                <w:sz w:val="18"/>
                <w:szCs w:val="18"/>
                <w:lang w:eastAsia="cs-CZ"/>
              </w:rPr>
              <w:lastRenderedPageBreak/>
              <w:t xml:space="preserve">Modernizace a obnova přístrojového vybavení </w:t>
            </w:r>
            <w:r w:rsidRPr="009278A0">
              <w:rPr>
                <w:rFonts w:eastAsia="Times New Roman" w:cs="Arial"/>
                <w:color w:val="000000"/>
                <w:sz w:val="18"/>
                <w:szCs w:val="18"/>
                <w:lang w:eastAsia="cs-CZ"/>
              </w:rPr>
              <w:t>ve vybraných odděleních nemocnice</w:t>
            </w:r>
            <w:r w:rsidRPr="00B46552">
              <w:rPr>
                <w:rFonts w:eastAsia="Times New Roman" w:cs="Arial"/>
                <w:b/>
                <w:bCs/>
                <w:color w:val="000000"/>
                <w:sz w:val="18"/>
                <w:szCs w:val="18"/>
                <w:lang w:eastAsia="cs-CZ"/>
              </w:rPr>
              <w:t xml:space="preserve"> Karlovy Vary</w:t>
            </w:r>
          </w:p>
        </w:tc>
        <w:tc>
          <w:tcPr>
            <w:tcW w:w="1001" w:type="dxa"/>
          </w:tcPr>
          <w:p w14:paraId="7CF16F4F" w14:textId="77777777" w:rsidR="00CB4A00" w:rsidRPr="00456702" w:rsidRDefault="00CB4A00" w:rsidP="00C66961">
            <w:pPr>
              <w:jc w:val="both"/>
              <w:rPr>
                <w:rFonts w:cs="Arial"/>
                <w:sz w:val="18"/>
                <w:szCs w:val="18"/>
                <w:lang w:eastAsia="cs-CZ"/>
              </w:rPr>
            </w:pPr>
            <w:r w:rsidRPr="00456702">
              <w:rPr>
                <w:rFonts w:cs="Arial"/>
                <w:sz w:val="18"/>
                <w:szCs w:val="18"/>
                <w:lang w:eastAsia="cs-CZ"/>
              </w:rPr>
              <w:t>151.250.000 Kč bez DPH, tj. 183.012.500 Kč vč.</w:t>
            </w:r>
          </w:p>
          <w:p w14:paraId="5548270E" w14:textId="77777777" w:rsidR="00CB4A00" w:rsidRDefault="00CB4A00" w:rsidP="00C66961">
            <w:pPr>
              <w:jc w:val="both"/>
              <w:rPr>
                <w:rFonts w:cs="Arial"/>
                <w:sz w:val="18"/>
                <w:szCs w:val="18"/>
                <w:lang w:eastAsia="cs-CZ"/>
              </w:rPr>
            </w:pPr>
            <w:r w:rsidRPr="00456702">
              <w:rPr>
                <w:rFonts w:cs="Arial"/>
                <w:sz w:val="18"/>
                <w:szCs w:val="18"/>
                <w:lang w:eastAsia="cs-CZ"/>
              </w:rPr>
              <w:t>DPH</w:t>
            </w:r>
          </w:p>
        </w:tc>
        <w:tc>
          <w:tcPr>
            <w:tcW w:w="1692" w:type="dxa"/>
            <w:gridSpan w:val="2"/>
            <w:vMerge/>
          </w:tcPr>
          <w:p w14:paraId="4C0F1994" w14:textId="77777777" w:rsidR="00CB4A00" w:rsidRDefault="00CB4A00" w:rsidP="00C66961">
            <w:pPr>
              <w:jc w:val="both"/>
              <w:rPr>
                <w:rFonts w:cs="Arial"/>
                <w:sz w:val="18"/>
                <w:szCs w:val="18"/>
                <w:lang w:eastAsia="cs-CZ"/>
              </w:rPr>
            </w:pPr>
          </w:p>
        </w:tc>
        <w:tc>
          <w:tcPr>
            <w:tcW w:w="2748" w:type="dxa"/>
            <w:gridSpan w:val="2"/>
            <w:vMerge/>
            <w:vAlign w:val="center"/>
          </w:tcPr>
          <w:p w14:paraId="7A552644" w14:textId="77777777" w:rsidR="00CB4A00" w:rsidRDefault="00CB4A00" w:rsidP="00C66961">
            <w:pPr>
              <w:jc w:val="both"/>
              <w:rPr>
                <w:rFonts w:cs="Arial"/>
                <w:sz w:val="18"/>
                <w:szCs w:val="18"/>
                <w:lang w:eastAsia="cs-CZ"/>
              </w:rPr>
            </w:pPr>
          </w:p>
        </w:tc>
        <w:tc>
          <w:tcPr>
            <w:tcW w:w="2163" w:type="dxa"/>
            <w:vMerge/>
          </w:tcPr>
          <w:p w14:paraId="2FAA074C" w14:textId="77777777" w:rsidR="00CB4A00" w:rsidRDefault="00CB4A00" w:rsidP="00C66961">
            <w:pPr>
              <w:jc w:val="both"/>
              <w:rPr>
                <w:rFonts w:cs="Arial"/>
                <w:sz w:val="18"/>
                <w:szCs w:val="18"/>
                <w:lang w:eastAsia="cs-CZ"/>
              </w:rPr>
            </w:pPr>
          </w:p>
        </w:tc>
        <w:tc>
          <w:tcPr>
            <w:tcW w:w="2406" w:type="dxa"/>
            <w:vMerge/>
            <w:vAlign w:val="center"/>
          </w:tcPr>
          <w:p w14:paraId="28E6CD8C" w14:textId="77777777" w:rsidR="00CB4A00" w:rsidRDefault="00CB4A00" w:rsidP="00C66961">
            <w:pPr>
              <w:jc w:val="both"/>
              <w:rPr>
                <w:rFonts w:cs="Arial"/>
                <w:sz w:val="18"/>
                <w:szCs w:val="18"/>
                <w:lang w:eastAsia="cs-CZ"/>
              </w:rPr>
            </w:pPr>
          </w:p>
        </w:tc>
        <w:tc>
          <w:tcPr>
            <w:tcW w:w="1482" w:type="dxa"/>
            <w:vMerge/>
            <w:vAlign w:val="center"/>
          </w:tcPr>
          <w:p w14:paraId="39682CA8" w14:textId="77777777" w:rsidR="00CB4A00" w:rsidRDefault="00CB4A00" w:rsidP="00C66961">
            <w:pPr>
              <w:jc w:val="both"/>
              <w:rPr>
                <w:rFonts w:cs="Arial"/>
                <w:sz w:val="18"/>
                <w:szCs w:val="18"/>
                <w:lang w:eastAsia="cs-CZ"/>
              </w:rPr>
            </w:pPr>
          </w:p>
        </w:tc>
      </w:tr>
      <w:tr w:rsidR="00CB4A00" w14:paraId="567C5AF6" w14:textId="77777777" w:rsidTr="00C66961">
        <w:trPr>
          <w:jc w:val="center"/>
        </w:trPr>
        <w:tc>
          <w:tcPr>
            <w:tcW w:w="2547" w:type="dxa"/>
          </w:tcPr>
          <w:p w14:paraId="6A574BA2" w14:textId="77777777" w:rsidR="00CB4A00" w:rsidRDefault="00CB4A00" w:rsidP="00C66961">
            <w:pPr>
              <w:jc w:val="both"/>
              <w:rPr>
                <w:rFonts w:cs="Arial"/>
                <w:sz w:val="18"/>
                <w:szCs w:val="18"/>
                <w:lang w:eastAsia="cs-CZ"/>
              </w:rPr>
            </w:pPr>
            <w:r w:rsidRPr="00B46552">
              <w:rPr>
                <w:rFonts w:eastAsia="Times New Roman" w:cs="Arial"/>
                <w:b/>
                <w:bCs/>
                <w:color w:val="000000"/>
                <w:sz w:val="18"/>
                <w:szCs w:val="18"/>
                <w:lang w:eastAsia="cs-CZ"/>
              </w:rPr>
              <w:t xml:space="preserve">Modernizace vybavení nemocnice </w:t>
            </w:r>
            <w:r w:rsidRPr="00B46552" w:rsidDel="00B575E7">
              <w:rPr>
                <w:rFonts w:eastAsia="Times New Roman" w:cs="Arial"/>
                <w:b/>
                <w:bCs/>
                <w:color w:val="000000"/>
                <w:sz w:val="18"/>
                <w:szCs w:val="18"/>
                <w:lang w:eastAsia="cs-CZ"/>
              </w:rPr>
              <w:t xml:space="preserve">Sokolov </w:t>
            </w:r>
            <w:r w:rsidRPr="00B46552">
              <w:rPr>
                <w:rFonts w:eastAsia="Times New Roman" w:cs="Arial"/>
                <w:b/>
                <w:bCs/>
                <w:color w:val="000000"/>
                <w:sz w:val="18"/>
                <w:szCs w:val="18"/>
                <w:lang w:eastAsia="cs-CZ"/>
              </w:rPr>
              <w:t>– Jedná</w:t>
            </w:r>
            <w:r w:rsidRPr="00B46552">
              <w:rPr>
                <w:rFonts w:eastAsia="Times New Roman" w:cs="Arial"/>
                <w:color w:val="000000"/>
                <w:sz w:val="18"/>
                <w:szCs w:val="18"/>
                <w:lang w:eastAsia="cs-CZ"/>
              </w:rPr>
              <w:t xml:space="preserve"> se o pořízení přístrojové techniky do nemocnice Sokolov, obměna zastaralého zdravotnického vybavení</w:t>
            </w:r>
          </w:p>
        </w:tc>
        <w:tc>
          <w:tcPr>
            <w:tcW w:w="1001" w:type="dxa"/>
          </w:tcPr>
          <w:p w14:paraId="31FD6EAD" w14:textId="77777777" w:rsidR="00CB4A00" w:rsidRDefault="00CB4A00" w:rsidP="00C66961">
            <w:pPr>
              <w:jc w:val="both"/>
              <w:rPr>
                <w:rFonts w:cs="Arial"/>
                <w:sz w:val="18"/>
                <w:szCs w:val="18"/>
                <w:lang w:eastAsia="cs-CZ"/>
              </w:rPr>
            </w:pPr>
            <w:r w:rsidRPr="00456702">
              <w:rPr>
                <w:rFonts w:cs="Arial"/>
                <w:sz w:val="18"/>
                <w:szCs w:val="18"/>
                <w:lang w:eastAsia="cs-CZ"/>
              </w:rPr>
              <w:t>36 700 000 Kč</w:t>
            </w:r>
          </w:p>
        </w:tc>
        <w:tc>
          <w:tcPr>
            <w:tcW w:w="1692" w:type="dxa"/>
            <w:gridSpan w:val="2"/>
            <w:vMerge/>
          </w:tcPr>
          <w:p w14:paraId="628BC11B" w14:textId="77777777" w:rsidR="00CB4A00" w:rsidRDefault="00CB4A00" w:rsidP="00C66961">
            <w:pPr>
              <w:jc w:val="both"/>
              <w:rPr>
                <w:rFonts w:cs="Arial"/>
                <w:sz w:val="18"/>
                <w:szCs w:val="18"/>
                <w:lang w:eastAsia="cs-CZ"/>
              </w:rPr>
            </w:pPr>
          </w:p>
        </w:tc>
        <w:tc>
          <w:tcPr>
            <w:tcW w:w="2748" w:type="dxa"/>
            <w:gridSpan w:val="2"/>
            <w:vMerge/>
            <w:vAlign w:val="center"/>
          </w:tcPr>
          <w:p w14:paraId="267C15FB" w14:textId="77777777" w:rsidR="00CB4A00" w:rsidRDefault="00CB4A00" w:rsidP="00C66961">
            <w:pPr>
              <w:jc w:val="both"/>
              <w:rPr>
                <w:rFonts w:cs="Arial"/>
                <w:sz w:val="18"/>
                <w:szCs w:val="18"/>
                <w:lang w:eastAsia="cs-CZ"/>
              </w:rPr>
            </w:pPr>
          </w:p>
        </w:tc>
        <w:tc>
          <w:tcPr>
            <w:tcW w:w="2163" w:type="dxa"/>
            <w:vMerge/>
          </w:tcPr>
          <w:p w14:paraId="01640A9D" w14:textId="77777777" w:rsidR="00CB4A00" w:rsidRDefault="00CB4A00" w:rsidP="00C66961">
            <w:pPr>
              <w:jc w:val="both"/>
              <w:rPr>
                <w:rFonts w:cs="Arial"/>
                <w:sz w:val="18"/>
                <w:szCs w:val="18"/>
                <w:lang w:eastAsia="cs-CZ"/>
              </w:rPr>
            </w:pPr>
          </w:p>
        </w:tc>
        <w:tc>
          <w:tcPr>
            <w:tcW w:w="2406" w:type="dxa"/>
            <w:vMerge/>
            <w:vAlign w:val="center"/>
          </w:tcPr>
          <w:p w14:paraId="75F7E6FF" w14:textId="77777777" w:rsidR="00CB4A00" w:rsidRDefault="00CB4A00" w:rsidP="00C66961">
            <w:pPr>
              <w:jc w:val="both"/>
              <w:rPr>
                <w:rFonts w:cs="Arial"/>
                <w:sz w:val="18"/>
                <w:szCs w:val="18"/>
                <w:lang w:eastAsia="cs-CZ"/>
              </w:rPr>
            </w:pPr>
          </w:p>
        </w:tc>
        <w:tc>
          <w:tcPr>
            <w:tcW w:w="1482" w:type="dxa"/>
            <w:vMerge/>
            <w:vAlign w:val="center"/>
          </w:tcPr>
          <w:p w14:paraId="4265CD28" w14:textId="77777777" w:rsidR="00CB4A00" w:rsidRDefault="00CB4A00" w:rsidP="00C66961">
            <w:pPr>
              <w:jc w:val="both"/>
              <w:rPr>
                <w:rFonts w:cs="Arial"/>
                <w:sz w:val="18"/>
                <w:szCs w:val="18"/>
                <w:lang w:eastAsia="cs-CZ"/>
              </w:rPr>
            </w:pPr>
          </w:p>
        </w:tc>
      </w:tr>
      <w:tr w:rsidR="00CB4A00" w14:paraId="39998578" w14:textId="77777777" w:rsidTr="00C66961">
        <w:trPr>
          <w:trHeight w:val="340"/>
          <w:jc w:val="center"/>
        </w:trPr>
        <w:tc>
          <w:tcPr>
            <w:tcW w:w="14039" w:type="dxa"/>
            <w:gridSpan w:val="9"/>
            <w:shd w:val="clear" w:color="auto" w:fill="EDEDED" w:themeFill="accent3" w:themeFillTint="33"/>
            <w:vAlign w:val="center"/>
          </w:tcPr>
          <w:p w14:paraId="7BBA6AA0" w14:textId="77777777" w:rsidR="00CB4A00" w:rsidRDefault="00CB4A00" w:rsidP="00C66961">
            <w:pPr>
              <w:jc w:val="center"/>
              <w:rPr>
                <w:rFonts w:cs="Arial"/>
                <w:sz w:val="18"/>
                <w:szCs w:val="18"/>
                <w:lang w:eastAsia="cs-CZ"/>
              </w:rPr>
            </w:pPr>
            <w:r w:rsidRPr="26266EC3">
              <w:rPr>
                <w:rFonts w:eastAsia="Times New Roman" w:cs="Arial"/>
                <w:b/>
                <w:bCs/>
                <w:color w:val="000000" w:themeColor="text1"/>
                <w:sz w:val="18"/>
                <w:szCs w:val="18"/>
              </w:rPr>
              <w:t xml:space="preserve">Podpůrné projekty – </w:t>
            </w:r>
            <w:r>
              <w:rPr>
                <w:rFonts w:eastAsia="Times New Roman" w:cs="Arial"/>
                <w:b/>
                <w:bCs/>
                <w:color w:val="000000" w:themeColor="text1"/>
                <w:sz w:val="18"/>
                <w:szCs w:val="18"/>
              </w:rPr>
              <w:t>Karlovarský kraj</w:t>
            </w:r>
          </w:p>
        </w:tc>
      </w:tr>
      <w:tr w:rsidR="00CB4A00" w14:paraId="545E855C" w14:textId="77777777" w:rsidTr="00C66961">
        <w:trPr>
          <w:jc w:val="center"/>
        </w:trPr>
        <w:tc>
          <w:tcPr>
            <w:tcW w:w="14039" w:type="dxa"/>
            <w:gridSpan w:val="9"/>
            <w:shd w:val="clear" w:color="auto" w:fill="FFF2CC" w:themeFill="accent4" w:themeFillTint="33"/>
          </w:tcPr>
          <w:p w14:paraId="51A2247C" w14:textId="77777777" w:rsidR="00CB4A00" w:rsidRPr="00456702" w:rsidRDefault="00CB4A00" w:rsidP="002E4092">
            <w:pPr>
              <w:pStyle w:val="Odstavecseseznamem"/>
              <w:numPr>
                <w:ilvl w:val="0"/>
                <w:numId w:val="12"/>
              </w:numPr>
              <w:jc w:val="center"/>
              <w:rPr>
                <w:rFonts w:cs="Arial"/>
                <w:b/>
                <w:bCs/>
                <w:sz w:val="18"/>
                <w:szCs w:val="18"/>
                <w:lang w:eastAsia="cs-CZ"/>
              </w:rPr>
            </w:pPr>
            <w:r w:rsidRPr="00456702">
              <w:rPr>
                <w:rFonts w:cs="Arial"/>
                <w:b/>
                <w:bCs/>
                <w:sz w:val="18"/>
                <w:szCs w:val="18"/>
                <w:lang w:eastAsia="cs-CZ"/>
              </w:rPr>
              <w:t>Rozvoj letiště Karlovy Vary</w:t>
            </w:r>
          </w:p>
        </w:tc>
      </w:tr>
      <w:tr w:rsidR="00CB4A00" w14:paraId="08110605" w14:textId="77777777" w:rsidTr="00C66961">
        <w:trPr>
          <w:jc w:val="center"/>
        </w:trPr>
        <w:tc>
          <w:tcPr>
            <w:tcW w:w="2547" w:type="dxa"/>
          </w:tcPr>
          <w:p w14:paraId="492EEBDE" w14:textId="77777777" w:rsidR="00CB4A00" w:rsidRDefault="00CB4A00" w:rsidP="00C66961">
            <w:pPr>
              <w:jc w:val="both"/>
              <w:rPr>
                <w:rFonts w:cs="Arial"/>
                <w:sz w:val="18"/>
                <w:szCs w:val="18"/>
                <w:lang w:eastAsia="cs-CZ"/>
              </w:rPr>
            </w:pPr>
            <w:r w:rsidRPr="00456702">
              <w:rPr>
                <w:rFonts w:cs="Arial"/>
                <w:sz w:val="18"/>
                <w:szCs w:val="18"/>
                <w:lang w:eastAsia="cs-CZ"/>
              </w:rPr>
              <w:t xml:space="preserve">Projekt je skládá ze dvou dílčích projektů: </w:t>
            </w:r>
            <w:r w:rsidRPr="00456702">
              <w:rPr>
                <w:rFonts w:cs="Arial"/>
                <w:b/>
                <w:bCs/>
                <w:sz w:val="18"/>
                <w:szCs w:val="18"/>
                <w:lang w:eastAsia="cs-CZ"/>
              </w:rPr>
              <w:t>Rozšíření a prodloužení přistávací a vzletové dráhy</w:t>
            </w:r>
            <w:r w:rsidRPr="00456702">
              <w:rPr>
                <w:rFonts w:cs="Arial"/>
                <w:sz w:val="18"/>
                <w:szCs w:val="18"/>
                <w:lang w:eastAsia="cs-CZ"/>
              </w:rPr>
              <w:t xml:space="preserve"> – záměrem projektu je změna parametrů vzletové a přistávací dráhy (RWY) letiště Karlovy Vary pro zvýšení jeho konkurence schopnosti a bezpečnosti provozu. Záměr předpokládá rozšíření RWY na 45 metrů a prodloužení na 2 510 metrů (stávající šířka je 30 metrů a délka 2 150 metrů). Zkapacitnění – rozšíření neveřejné části terminálové kapacity – záměrem projektu je vyvážení kapacit ve veřejné a neveřejné časti terminálu, rozšíření plochy čekáren pro současné </w:t>
            </w:r>
            <w:r w:rsidRPr="00456702">
              <w:rPr>
                <w:rFonts w:cs="Arial"/>
                <w:sz w:val="18"/>
                <w:szCs w:val="18"/>
                <w:lang w:eastAsia="cs-CZ"/>
              </w:rPr>
              <w:lastRenderedPageBreak/>
              <w:t>odbavení 2 letadel a zvětšení prodejní plochy pro služby cestujícím.</w:t>
            </w:r>
          </w:p>
        </w:tc>
        <w:tc>
          <w:tcPr>
            <w:tcW w:w="1001" w:type="dxa"/>
          </w:tcPr>
          <w:p w14:paraId="281B8E7F" w14:textId="77777777" w:rsidR="00CB4A00" w:rsidRPr="00456702" w:rsidRDefault="00CB4A00" w:rsidP="00C66961">
            <w:pPr>
              <w:jc w:val="both"/>
              <w:rPr>
                <w:rFonts w:cs="Arial"/>
                <w:sz w:val="18"/>
                <w:szCs w:val="18"/>
                <w:lang w:eastAsia="cs-CZ"/>
              </w:rPr>
            </w:pPr>
            <w:r w:rsidRPr="00456702">
              <w:rPr>
                <w:rFonts w:cs="Arial"/>
                <w:sz w:val="18"/>
                <w:szCs w:val="18"/>
                <w:lang w:eastAsia="cs-CZ"/>
              </w:rPr>
              <w:lastRenderedPageBreak/>
              <w:t>rozšíření – dle studie z 02/2020 = cca. 554 mil. Kč vč. DPH</w:t>
            </w:r>
          </w:p>
          <w:p w14:paraId="443678BA" w14:textId="77777777" w:rsidR="00CB4A00" w:rsidRDefault="00CB4A00" w:rsidP="00C66961">
            <w:pPr>
              <w:jc w:val="both"/>
              <w:rPr>
                <w:rFonts w:cs="Arial"/>
                <w:sz w:val="18"/>
                <w:szCs w:val="18"/>
                <w:lang w:eastAsia="cs-CZ"/>
              </w:rPr>
            </w:pPr>
            <w:r w:rsidRPr="00456702">
              <w:rPr>
                <w:rFonts w:cs="Arial"/>
                <w:sz w:val="18"/>
                <w:szCs w:val="18"/>
                <w:lang w:eastAsia="cs-CZ"/>
              </w:rPr>
              <w:t>rozšíření + prodloužení – dle propočtu z 08/2021 = cca. 998 mil. Kč vč. DPH</w:t>
            </w:r>
          </w:p>
        </w:tc>
        <w:tc>
          <w:tcPr>
            <w:tcW w:w="1692" w:type="dxa"/>
            <w:gridSpan w:val="2"/>
          </w:tcPr>
          <w:p w14:paraId="78C24232" w14:textId="77777777" w:rsidR="00CB4A00" w:rsidRDefault="00CB4A00" w:rsidP="00C66961">
            <w:pPr>
              <w:jc w:val="both"/>
              <w:rPr>
                <w:rFonts w:cs="Arial"/>
                <w:sz w:val="18"/>
                <w:szCs w:val="18"/>
                <w:lang w:eastAsia="cs-CZ"/>
              </w:rPr>
            </w:pPr>
            <w:r>
              <w:rPr>
                <w:rFonts w:cs="Arial"/>
                <w:sz w:val="18"/>
                <w:szCs w:val="18"/>
                <w:lang w:eastAsia="cs-CZ"/>
              </w:rPr>
              <w:t>Není definováno</w:t>
            </w:r>
          </w:p>
          <w:p w14:paraId="4F727512" w14:textId="77777777" w:rsidR="00CB4A00" w:rsidRDefault="00CB4A00" w:rsidP="00C66961">
            <w:pPr>
              <w:jc w:val="both"/>
              <w:rPr>
                <w:rFonts w:cs="Arial"/>
                <w:sz w:val="18"/>
                <w:szCs w:val="18"/>
                <w:lang w:eastAsia="cs-CZ"/>
              </w:rPr>
            </w:pPr>
          </w:p>
        </w:tc>
        <w:tc>
          <w:tcPr>
            <w:tcW w:w="2748" w:type="dxa"/>
            <w:gridSpan w:val="2"/>
          </w:tcPr>
          <w:p w14:paraId="75020595" w14:textId="77777777" w:rsidR="00CB4A00" w:rsidRDefault="00CB4A00" w:rsidP="00C66961">
            <w:pPr>
              <w:jc w:val="both"/>
              <w:rPr>
                <w:rFonts w:cs="Arial"/>
                <w:sz w:val="18"/>
                <w:szCs w:val="18"/>
                <w:lang w:eastAsia="cs-CZ"/>
              </w:rPr>
            </w:pPr>
            <w:r w:rsidRPr="00456702">
              <w:rPr>
                <w:rFonts w:cs="Arial"/>
                <w:sz w:val="18"/>
                <w:szCs w:val="18"/>
                <w:lang w:eastAsia="cs-CZ"/>
              </w:rPr>
              <w:t xml:space="preserve">Realizací projektu vzniknou nová pracovní místa, dále rozvoj cestovního ruchu, otevřou se příležitosti k propojení krajského ekonomického centra s významnými zdrojovými trhy v zahraničí, zvýšením počtu leteckých linek dojde k většími přílivu turistů a lázeňských hostů, zvýšení počtu leteckého spojení může přilákat nové obchodní partnery, rozšíření a prodloužení dráhy </w:t>
            </w:r>
            <w:proofErr w:type="gramStart"/>
            <w:r w:rsidRPr="00456702">
              <w:rPr>
                <w:rFonts w:cs="Arial"/>
                <w:sz w:val="18"/>
                <w:szCs w:val="18"/>
                <w:lang w:eastAsia="cs-CZ"/>
              </w:rPr>
              <w:t>zvýší</w:t>
            </w:r>
            <w:proofErr w:type="gramEnd"/>
            <w:r w:rsidRPr="00456702">
              <w:rPr>
                <w:rFonts w:cs="Arial"/>
                <w:sz w:val="18"/>
                <w:szCs w:val="18"/>
                <w:lang w:eastAsia="cs-CZ"/>
              </w:rPr>
              <w:t xml:space="preserve"> konkurenceschopnost letiště a posílí využitelnost letiště pro potřeby IZS a armády pro případ mimořádných událostí.</w:t>
            </w:r>
          </w:p>
        </w:tc>
        <w:tc>
          <w:tcPr>
            <w:tcW w:w="2163" w:type="dxa"/>
          </w:tcPr>
          <w:p w14:paraId="699D215C" w14:textId="77777777" w:rsidR="00CB4A00" w:rsidRDefault="00CB4A00" w:rsidP="00C66961">
            <w:pPr>
              <w:jc w:val="both"/>
              <w:rPr>
                <w:rFonts w:cs="Arial"/>
                <w:sz w:val="18"/>
                <w:szCs w:val="18"/>
                <w:lang w:eastAsia="cs-CZ"/>
              </w:rPr>
            </w:pPr>
            <w:r>
              <w:rPr>
                <w:rFonts w:eastAsia="Times New Roman" w:cs="Arial"/>
                <w:color w:val="000000"/>
                <w:sz w:val="18"/>
                <w:szCs w:val="18"/>
                <w:lang w:eastAsia="cs-CZ"/>
              </w:rPr>
              <w:t>Z</w:t>
            </w:r>
            <w:r w:rsidRPr="00B46552">
              <w:rPr>
                <w:rFonts w:eastAsia="Times New Roman" w:cs="Arial"/>
                <w:color w:val="000000"/>
                <w:sz w:val="18"/>
                <w:szCs w:val="18"/>
                <w:lang w:eastAsia="cs-CZ"/>
              </w:rPr>
              <w:t>výšení atraktivity regionu</w:t>
            </w:r>
            <w:r>
              <w:rPr>
                <w:rFonts w:eastAsia="Times New Roman" w:cs="Arial"/>
                <w:color w:val="000000"/>
                <w:sz w:val="18"/>
                <w:szCs w:val="18"/>
                <w:lang w:eastAsia="cs-CZ"/>
              </w:rPr>
              <w:t>. R</w:t>
            </w:r>
            <w:r w:rsidRPr="00B46552">
              <w:rPr>
                <w:rFonts w:eastAsia="Times New Roman" w:cs="Arial"/>
                <w:color w:val="000000"/>
                <w:sz w:val="18"/>
                <w:szCs w:val="18"/>
                <w:lang w:eastAsia="cs-CZ"/>
              </w:rPr>
              <w:t>ozvoj cestovního ruchu v Karlovarském kraji</w:t>
            </w:r>
            <w:r>
              <w:rPr>
                <w:rFonts w:eastAsia="Times New Roman" w:cs="Arial"/>
                <w:color w:val="000000"/>
                <w:sz w:val="18"/>
                <w:szCs w:val="18"/>
                <w:lang w:eastAsia="cs-CZ"/>
              </w:rPr>
              <w:t>. D</w:t>
            </w:r>
            <w:r w:rsidRPr="00B46552">
              <w:rPr>
                <w:rFonts w:eastAsia="Times New Roman" w:cs="Arial"/>
                <w:color w:val="000000"/>
                <w:sz w:val="18"/>
                <w:szCs w:val="18"/>
                <w:lang w:eastAsia="cs-CZ"/>
              </w:rPr>
              <w:t>ojde k propojení krajského ekonomického centra s hlavními trhy v zahraničí, jelikož budou moci být přijímána letadla s vyšší kapacitou cestujících a větší doletovou vzdáleností</w:t>
            </w:r>
            <w:r>
              <w:rPr>
                <w:rFonts w:eastAsia="Times New Roman" w:cs="Arial"/>
                <w:color w:val="000000"/>
                <w:sz w:val="18"/>
                <w:szCs w:val="18"/>
                <w:lang w:eastAsia="cs-CZ"/>
              </w:rPr>
              <w:t>. L</w:t>
            </w:r>
            <w:r w:rsidRPr="00B46552">
              <w:rPr>
                <w:rFonts w:eastAsia="Times New Roman" w:cs="Arial"/>
                <w:color w:val="000000"/>
                <w:sz w:val="18"/>
                <w:szCs w:val="18"/>
                <w:lang w:eastAsia="cs-CZ"/>
              </w:rPr>
              <w:t xml:space="preserve">eteckým společnostem se významně </w:t>
            </w:r>
            <w:proofErr w:type="gramStart"/>
            <w:r w:rsidRPr="00B46552">
              <w:rPr>
                <w:rFonts w:eastAsia="Times New Roman" w:cs="Arial"/>
                <w:color w:val="000000"/>
                <w:sz w:val="18"/>
                <w:szCs w:val="18"/>
                <w:lang w:eastAsia="cs-CZ"/>
              </w:rPr>
              <w:t>sníží</w:t>
            </w:r>
            <w:proofErr w:type="gramEnd"/>
            <w:r w:rsidRPr="00B46552">
              <w:rPr>
                <w:rFonts w:eastAsia="Times New Roman" w:cs="Arial"/>
                <w:color w:val="000000"/>
                <w:sz w:val="18"/>
                <w:szCs w:val="18"/>
                <w:lang w:eastAsia="cs-CZ"/>
              </w:rPr>
              <w:t xml:space="preserve"> náklady na přepravu cestujících, což bude mít za následek větší ochotu leteckých společností k provozování leteckých linek na letiště Karlovy </w:t>
            </w:r>
            <w:r w:rsidRPr="00B46552">
              <w:rPr>
                <w:rFonts w:eastAsia="Times New Roman" w:cs="Arial"/>
                <w:color w:val="000000"/>
                <w:sz w:val="18"/>
                <w:szCs w:val="18"/>
                <w:lang w:eastAsia="cs-CZ"/>
              </w:rPr>
              <w:lastRenderedPageBreak/>
              <w:t>Vary včetně leteckých společností</w:t>
            </w:r>
            <w:r>
              <w:rPr>
                <w:rFonts w:eastAsia="Times New Roman" w:cs="Arial"/>
                <w:color w:val="000000"/>
                <w:sz w:val="18"/>
                <w:szCs w:val="18"/>
                <w:lang w:eastAsia="cs-CZ"/>
              </w:rPr>
              <w:t xml:space="preserve"> </w:t>
            </w:r>
            <w:r w:rsidRPr="00B46552">
              <w:rPr>
                <w:rFonts w:eastAsia="Times New Roman" w:cs="Arial"/>
                <w:color w:val="000000"/>
                <w:sz w:val="18"/>
                <w:szCs w:val="18"/>
                <w:lang w:eastAsia="cs-CZ"/>
              </w:rPr>
              <w:t>provozujících nízkonákladové lety</w:t>
            </w:r>
            <w:r>
              <w:rPr>
                <w:rFonts w:eastAsia="Times New Roman" w:cs="Arial"/>
                <w:color w:val="000000"/>
                <w:sz w:val="18"/>
                <w:szCs w:val="18"/>
                <w:lang w:eastAsia="cs-CZ"/>
              </w:rPr>
              <w:t>.</w:t>
            </w:r>
          </w:p>
        </w:tc>
        <w:tc>
          <w:tcPr>
            <w:tcW w:w="2406" w:type="dxa"/>
          </w:tcPr>
          <w:p w14:paraId="4C15A68E" w14:textId="77777777" w:rsidR="00CB4A00" w:rsidRPr="004F3422" w:rsidRDefault="00CB4A00" w:rsidP="00C66961">
            <w:pPr>
              <w:jc w:val="both"/>
              <w:rPr>
                <w:rFonts w:cs="Arial"/>
                <w:sz w:val="18"/>
                <w:szCs w:val="18"/>
                <w:lang w:eastAsia="cs-CZ"/>
              </w:rPr>
            </w:pPr>
            <w:r w:rsidRPr="004F3422">
              <w:rPr>
                <w:rFonts w:cs="Arial"/>
                <w:sz w:val="18"/>
                <w:szCs w:val="18"/>
                <w:lang w:eastAsia="cs-CZ"/>
              </w:rPr>
              <w:lastRenderedPageBreak/>
              <w:t xml:space="preserve">Tento projekt má dopad na celý kraj – jedná se prodloužení přistávací/vzletové dráhy a zkapacitnění terminálové budovy. </w:t>
            </w:r>
          </w:p>
          <w:p w14:paraId="75A37125" w14:textId="77777777" w:rsidR="00CB4A00" w:rsidRDefault="00CB4A00" w:rsidP="00C66961">
            <w:pPr>
              <w:jc w:val="both"/>
              <w:rPr>
                <w:rFonts w:cs="Arial"/>
                <w:sz w:val="18"/>
                <w:szCs w:val="18"/>
                <w:lang w:eastAsia="cs-CZ"/>
              </w:rPr>
            </w:pPr>
            <w:r w:rsidRPr="004F3422">
              <w:rPr>
                <w:rFonts w:cs="Arial"/>
                <w:sz w:val="18"/>
                <w:szCs w:val="18"/>
                <w:lang w:eastAsia="cs-CZ"/>
              </w:rPr>
              <w:t xml:space="preserve">Zvýšením počtu leteckých linek dojde k většímu přílivu turistů a lázeňských hostů, kteří </w:t>
            </w:r>
            <w:proofErr w:type="gramStart"/>
            <w:r w:rsidRPr="004F3422">
              <w:rPr>
                <w:rFonts w:cs="Arial"/>
                <w:sz w:val="18"/>
                <w:szCs w:val="18"/>
                <w:lang w:eastAsia="cs-CZ"/>
              </w:rPr>
              <w:t>tvoří</w:t>
            </w:r>
            <w:proofErr w:type="gramEnd"/>
            <w:r w:rsidRPr="004F3422">
              <w:rPr>
                <w:rFonts w:cs="Arial"/>
                <w:sz w:val="18"/>
                <w:szCs w:val="18"/>
                <w:lang w:eastAsia="cs-CZ"/>
              </w:rPr>
              <w:t xml:space="preserve"> základ cestovního ruchu v celém KVK. Takovéto zvýšení počtu turistů a lázeňských hostů bude mít pozitivní vliv na poptávku po různorodých lázeňských i nelázeňských službách, mající za následek nutnost rozvoje služeb oproti současnému stavu. Následně dojde k </w:t>
            </w:r>
            <w:r w:rsidRPr="004F3422">
              <w:rPr>
                <w:rFonts w:cs="Arial"/>
                <w:sz w:val="18"/>
                <w:szCs w:val="18"/>
                <w:lang w:eastAsia="cs-CZ"/>
              </w:rPr>
              <w:lastRenderedPageBreak/>
              <w:t>„nastartování“ zvyšování hospodářské výkonnosti služeb cestovního ruchu a potřeby spolupráce s VaV v oblasti lázeňské péče a balneologie.</w:t>
            </w:r>
          </w:p>
        </w:tc>
        <w:tc>
          <w:tcPr>
            <w:tcW w:w="1482" w:type="dxa"/>
            <w:vAlign w:val="center"/>
          </w:tcPr>
          <w:p w14:paraId="1A38974C" w14:textId="77777777" w:rsidR="00CB4A00" w:rsidRDefault="00CB4A00" w:rsidP="00C66961">
            <w:pPr>
              <w:jc w:val="center"/>
              <w:rPr>
                <w:rFonts w:cs="Arial"/>
                <w:sz w:val="18"/>
                <w:szCs w:val="18"/>
                <w:lang w:eastAsia="cs-CZ"/>
              </w:rPr>
            </w:pPr>
            <w:r>
              <w:rPr>
                <w:rFonts w:cs="Arial"/>
                <w:sz w:val="18"/>
                <w:szCs w:val="18"/>
                <w:lang w:eastAsia="cs-CZ"/>
              </w:rPr>
              <w:lastRenderedPageBreak/>
              <w:t>X</w:t>
            </w:r>
          </w:p>
        </w:tc>
      </w:tr>
      <w:tr w:rsidR="00CB4A00" w14:paraId="4F70E510" w14:textId="77777777" w:rsidTr="00C66961">
        <w:trPr>
          <w:jc w:val="center"/>
        </w:trPr>
        <w:tc>
          <w:tcPr>
            <w:tcW w:w="14039" w:type="dxa"/>
            <w:gridSpan w:val="9"/>
            <w:shd w:val="clear" w:color="auto" w:fill="FFF2CC" w:themeFill="accent4" w:themeFillTint="33"/>
          </w:tcPr>
          <w:p w14:paraId="1020A544" w14:textId="77777777" w:rsidR="00CB4A00" w:rsidRPr="00456702" w:rsidRDefault="00CB4A00" w:rsidP="002E4092">
            <w:pPr>
              <w:pStyle w:val="Odstavecseseznamem"/>
              <w:numPr>
                <w:ilvl w:val="0"/>
                <w:numId w:val="12"/>
              </w:numPr>
              <w:jc w:val="center"/>
              <w:rPr>
                <w:rFonts w:cs="Arial"/>
                <w:b/>
                <w:bCs/>
                <w:sz w:val="18"/>
                <w:szCs w:val="18"/>
                <w:lang w:eastAsia="cs-CZ"/>
              </w:rPr>
            </w:pPr>
            <w:r w:rsidRPr="004E3700">
              <w:rPr>
                <w:rFonts w:cs="Arial"/>
                <w:b/>
                <w:bCs/>
                <w:sz w:val="18"/>
                <w:szCs w:val="18"/>
                <w:lang w:eastAsia="cs-CZ"/>
              </w:rPr>
              <w:t>Rozvoj sociálních služeb v Karlovarském kraji</w:t>
            </w:r>
          </w:p>
        </w:tc>
      </w:tr>
      <w:tr w:rsidR="00CB4A00" w14:paraId="78E77111" w14:textId="77777777" w:rsidTr="00C66961">
        <w:trPr>
          <w:jc w:val="center"/>
        </w:trPr>
        <w:tc>
          <w:tcPr>
            <w:tcW w:w="2547" w:type="dxa"/>
          </w:tcPr>
          <w:p w14:paraId="39107BF7" w14:textId="77777777" w:rsidR="00CB4A00" w:rsidRDefault="00CB4A00" w:rsidP="00C66961">
            <w:pPr>
              <w:jc w:val="both"/>
              <w:rPr>
                <w:rFonts w:cs="Arial"/>
                <w:sz w:val="18"/>
                <w:szCs w:val="18"/>
                <w:lang w:eastAsia="cs-CZ"/>
              </w:rPr>
            </w:pPr>
            <w:r w:rsidRPr="004E3700">
              <w:rPr>
                <w:rFonts w:cs="Arial"/>
                <w:sz w:val="18"/>
                <w:szCs w:val="18"/>
                <w:lang w:eastAsia="cs-CZ"/>
              </w:rPr>
              <w:t>Humanizace sociální služby Domova se zvláštním režimem „MATYÁŠ“ v Nejdku</w:t>
            </w:r>
          </w:p>
        </w:tc>
        <w:tc>
          <w:tcPr>
            <w:tcW w:w="1001" w:type="dxa"/>
          </w:tcPr>
          <w:p w14:paraId="487094D0" w14:textId="77777777" w:rsidR="00CB4A00" w:rsidRDefault="00CB4A00" w:rsidP="00C66961">
            <w:pPr>
              <w:jc w:val="both"/>
              <w:rPr>
                <w:rFonts w:cs="Arial"/>
                <w:sz w:val="18"/>
                <w:szCs w:val="18"/>
                <w:lang w:eastAsia="cs-CZ"/>
              </w:rPr>
            </w:pPr>
            <w:r w:rsidRPr="004E3700">
              <w:rPr>
                <w:rFonts w:cs="Arial"/>
                <w:sz w:val="18"/>
                <w:szCs w:val="18"/>
                <w:lang w:eastAsia="cs-CZ"/>
              </w:rPr>
              <w:t>450 mil Kč vč. DPH</w:t>
            </w:r>
          </w:p>
        </w:tc>
        <w:tc>
          <w:tcPr>
            <w:tcW w:w="1692" w:type="dxa"/>
            <w:gridSpan w:val="2"/>
          </w:tcPr>
          <w:p w14:paraId="2209C07D" w14:textId="77777777" w:rsidR="00CB4A00" w:rsidRDefault="00CB4A00" w:rsidP="00C66961">
            <w:pPr>
              <w:jc w:val="both"/>
              <w:rPr>
                <w:rFonts w:cs="Arial"/>
                <w:sz w:val="18"/>
                <w:szCs w:val="18"/>
                <w:lang w:eastAsia="cs-CZ"/>
              </w:rPr>
            </w:pPr>
            <w:r w:rsidRPr="004E3700">
              <w:rPr>
                <w:rFonts w:cs="Arial"/>
                <w:sz w:val="18"/>
                <w:szCs w:val="18"/>
                <w:lang w:eastAsia="cs-CZ"/>
              </w:rPr>
              <w:t>Dne 15. 12. 2021 byla vydána Registrace akce 013D31300 3001 MPSV na 1. etapu projektu pro příjemce dotace ve výši 52 049 171 Kč ze státního rozpočtu.  V současné době je vyhlášena výzva Národního plánu obnovy – Rozvoj a modernizace materiálně technické základny sociálních služeb s maximální poskytovanou výší dotace 80 mil. Kč.</w:t>
            </w:r>
          </w:p>
        </w:tc>
        <w:tc>
          <w:tcPr>
            <w:tcW w:w="2748" w:type="dxa"/>
            <w:gridSpan w:val="2"/>
          </w:tcPr>
          <w:p w14:paraId="6B2A357A" w14:textId="77777777" w:rsidR="00CB4A00" w:rsidRDefault="00CB4A00" w:rsidP="00C66961">
            <w:pPr>
              <w:jc w:val="both"/>
              <w:rPr>
                <w:rFonts w:cs="Arial"/>
                <w:sz w:val="18"/>
                <w:szCs w:val="18"/>
                <w:lang w:eastAsia="cs-CZ"/>
              </w:rPr>
            </w:pPr>
            <w:r w:rsidRPr="004E3700">
              <w:rPr>
                <w:rFonts w:cs="Arial"/>
                <w:sz w:val="18"/>
                <w:szCs w:val="18"/>
                <w:lang w:eastAsia="cs-CZ"/>
              </w:rPr>
              <w:t>Z titulu celoroční odborné péče, která je uživatelům sociální služby poskytnuta, mohou jejich rodinní příslušníci zůstat v pracovním procesu.</w:t>
            </w:r>
          </w:p>
        </w:tc>
        <w:tc>
          <w:tcPr>
            <w:tcW w:w="2163" w:type="dxa"/>
          </w:tcPr>
          <w:p w14:paraId="4D5280C1" w14:textId="77777777" w:rsidR="00CB4A00" w:rsidRPr="004E3700" w:rsidRDefault="00CB4A00" w:rsidP="00C66961">
            <w:pPr>
              <w:jc w:val="both"/>
              <w:rPr>
                <w:rFonts w:cs="Arial"/>
                <w:sz w:val="18"/>
                <w:szCs w:val="18"/>
                <w:lang w:eastAsia="cs-CZ"/>
              </w:rPr>
            </w:pPr>
            <w:r w:rsidRPr="004E3700">
              <w:rPr>
                <w:rFonts w:cs="Arial"/>
                <w:sz w:val="18"/>
                <w:szCs w:val="18"/>
                <w:lang w:eastAsia="cs-CZ"/>
              </w:rPr>
              <w:t>Zlepšení a zkvalitnění sociálních služeb pro specifické cílové skupiny. V rámci zajištění péče o osoby blízké v rámci zařízení bude uživatelům sociální služby zajištěna péče na území KVK a jejich rodinní příslušníci se nebudou stěhovat do jiného kraje, kde jsou obdobná zařízení sociálních služeb k dispozici ve vyšší kapacitě.</w:t>
            </w:r>
          </w:p>
          <w:p w14:paraId="71225AA1" w14:textId="77777777" w:rsidR="00CB4A00" w:rsidRDefault="00CB4A00" w:rsidP="00C66961">
            <w:pPr>
              <w:jc w:val="both"/>
              <w:rPr>
                <w:rFonts w:cs="Arial"/>
                <w:sz w:val="18"/>
                <w:szCs w:val="18"/>
                <w:lang w:eastAsia="cs-CZ"/>
              </w:rPr>
            </w:pPr>
            <w:r w:rsidRPr="004E3700">
              <w:rPr>
                <w:rFonts w:cs="Arial"/>
                <w:sz w:val="18"/>
                <w:szCs w:val="18"/>
                <w:lang w:eastAsia="cs-CZ"/>
              </w:rPr>
              <w:t>Zlepšení a zkvalitnění sociálních služeb pro specifické cílové skupiny. V rámci zajištění péče o osoby blízké v rámci zařízení bude uživatelům sociální služby zajištěna péče na území KVK a jejich rodinní příslušníci se nebudou stěhovat do jiného kraje, kde jsou obdobná specializovaná zařízení sociálních služeb k dispozici.</w:t>
            </w:r>
          </w:p>
        </w:tc>
        <w:tc>
          <w:tcPr>
            <w:tcW w:w="2406" w:type="dxa"/>
          </w:tcPr>
          <w:p w14:paraId="4DFBCF9E" w14:textId="77777777" w:rsidR="00CB4A00" w:rsidRDefault="00CB4A00" w:rsidP="00C66961">
            <w:pPr>
              <w:jc w:val="both"/>
              <w:rPr>
                <w:rFonts w:cs="Arial"/>
                <w:sz w:val="18"/>
                <w:szCs w:val="18"/>
                <w:lang w:eastAsia="cs-CZ"/>
              </w:rPr>
            </w:pPr>
            <w:r w:rsidRPr="00B46552">
              <w:rPr>
                <w:rFonts w:eastAsia="Times New Roman" w:cs="Arial"/>
                <w:color w:val="000000"/>
                <w:sz w:val="18"/>
                <w:szCs w:val="18"/>
                <w:lang w:eastAsia="cs-CZ"/>
              </w:rPr>
              <w:t>Dopad na území celého KVK (služba poskytována uživatelům z celého KVK)</w:t>
            </w:r>
          </w:p>
        </w:tc>
        <w:tc>
          <w:tcPr>
            <w:tcW w:w="1482" w:type="dxa"/>
            <w:vAlign w:val="center"/>
          </w:tcPr>
          <w:p w14:paraId="5058C76D"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776472EF" w14:textId="77777777" w:rsidTr="00C66961">
        <w:trPr>
          <w:jc w:val="center"/>
        </w:trPr>
        <w:tc>
          <w:tcPr>
            <w:tcW w:w="2547" w:type="dxa"/>
          </w:tcPr>
          <w:p w14:paraId="61E99C86" w14:textId="77777777" w:rsidR="00CB4A00" w:rsidRPr="004E3700" w:rsidRDefault="00CB4A00" w:rsidP="00C66961">
            <w:pPr>
              <w:jc w:val="both"/>
              <w:rPr>
                <w:rFonts w:cs="Arial"/>
                <w:sz w:val="18"/>
                <w:szCs w:val="18"/>
                <w:lang w:eastAsia="cs-CZ"/>
              </w:rPr>
            </w:pPr>
            <w:r w:rsidRPr="004E3700">
              <w:rPr>
                <w:rFonts w:cs="Arial"/>
                <w:sz w:val="18"/>
                <w:szCs w:val="18"/>
                <w:lang w:eastAsia="cs-CZ"/>
              </w:rPr>
              <w:lastRenderedPageBreak/>
              <w:t>Výstavba DOZP formou rodinných domků pro osoby s poruchou autistického spektra (PAS) a domek pro management</w:t>
            </w:r>
          </w:p>
        </w:tc>
        <w:tc>
          <w:tcPr>
            <w:tcW w:w="1001" w:type="dxa"/>
          </w:tcPr>
          <w:p w14:paraId="5A26AA8D" w14:textId="77777777" w:rsidR="00CB4A00" w:rsidRPr="004E3700" w:rsidRDefault="00CB4A00" w:rsidP="00C66961">
            <w:pPr>
              <w:jc w:val="both"/>
              <w:rPr>
                <w:rFonts w:cs="Arial"/>
                <w:sz w:val="18"/>
                <w:szCs w:val="18"/>
                <w:lang w:eastAsia="cs-CZ"/>
              </w:rPr>
            </w:pPr>
            <w:r w:rsidRPr="004E3700">
              <w:rPr>
                <w:rFonts w:cs="Arial"/>
                <w:sz w:val="18"/>
                <w:szCs w:val="18"/>
                <w:lang w:eastAsia="cs-CZ"/>
              </w:rPr>
              <w:t>55 mil. Kč včetně DPH</w:t>
            </w:r>
          </w:p>
        </w:tc>
        <w:tc>
          <w:tcPr>
            <w:tcW w:w="1692" w:type="dxa"/>
            <w:gridSpan w:val="2"/>
          </w:tcPr>
          <w:p w14:paraId="1869D651" w14:textId="77777777" w:rsidR="00CB4A00" w:rsidRPr="004E3700" w:rsidRDefault="00CB4A00" w:rsidP="00C66961">
            <w:pPr>
              <w:jc w:val="both"/>
              <w:rPr>
                <w:rFonts w:cs="Arial"/>
                <w:sz w:val="18"/>
                <w:szCs w:val="18"/>
                <w:lang w:eastAsia="cs-CZ"/>
              </w:rPr>
            </w:pPr>
            <w:r w:rsidRPr="004E3700">
              <w:rPr>
                <w:rFonts w:cs="Arial"/>
                <w:sz w:val="18"/>
                <w:szCs w:val="18"/>
                <w:lang w:eastAsia="cs-CZ"/>
              </w:rPr>
              <w:t>IROP 2021-2027 Priorita 4 – Zlepšení kvality a dostupnosti sociálních a zdravotních služeb, vzdělávací infrastruktury a rozvoj kulturního dědictví, Specifický cíl 4.2: Podpora socioekonomického začlenění marginalizovaných komunit, domácností s nízkými příjmy a znevýhodněných skupin včetně osob se zvláštními potřebami, pomocí integrovaných opatření, včetně bydlení a sociálních služeb – 85 % způsobilé výdaje</w:t>
            </w:r>
            <w:r>
              <w:rPr>
                <w:rFonts w:cs="Arial"/>
                <w:sz w:val="18"/>
                <w:szCs w:val="18"/>
                <w:lang w:eastAsia="cs-CZ"/>
              </w:rPr>
              <w:t>.</w:t>
            </w:r>
          </w:p>
        </w:tc>
        <w:tc>
          <w:tcPr>
            <w:tcW w:w="2748" w:type="dxa"/>
            <w:gridSpan w:val="2"/>
          </w:tcPr>
          <w:p w14:paraId="2F4F94E7" w14:textId="77777777" w:rsidR="00CB4A00" w:rsidRPr="004E3700" w:rsidRDefault="00CB4A00" w:rsidP="00C66961">
            <w:pPr>
              <w:jc w:val="both"/>
              <w:rPr>
                <w:rFonts w:cs="Arial"/>
                <w:sz w:val="18"/>
                <w:szCs w:val="18"/>
                <w:lang w:eastAsia="cs-CZ"/>
              </w:rPr>
            </w:pPr>
            <w:r w:rsidRPr="004E3700">
              <w:rPr>
                <w:rFonts w:cs="Arial"/>
                <w:sz w:val="18"/>
                <w:szCs w:val="18"/>
                <w:lang w:eastAsia="cs-CZ"/>
              </w:rPr>
              <w:t>Díky celoroční odborné péči, která je uživatelům sociální služby poskytnuta, mohou jejich rodinní příslušníci zůstat v pracovním procesu.</w:t>
            </w:r>
          </w:p>
        </w:tc>
        <w:tc>
          <w:tcPr>
            <w:tcW w:w="2163" w:type="dxa"/>
          </w:tcPr>
          <w:p w14:paraId="1B103398" w14:textId="77777777" w:rsidR="00CB4A00" w:rsidRPr="004E3700" w:rsidRDefault="00CB4A00" w:rsidP="00C66961">
            <w:pPr>
              <w:jc w:val="both"/>
              <w:rPr>
                <w:rFonts w:cs="Arial"/>
                <w:sz w:val="18"/>
                <w:szCs w:val="18"/>
                <w:lang w:eastAsia="cs-CZ"/>
              </w:rPr>
            </w:pPr>
            <w:r w:rsidRPr="004E3700">
              <w:rPr>
                <w:rFonts w:cs="Arial"/>
                <w:sz w:val="18"/>
                <w:szCs w:val="18"/>
                <w:lang w:eastAsia="cs-CZ"/>
              </w:rPr>
              <w:t>Zlepšení a zkvalitnění sociálních služeb pro specifické cílové skupiny. V rámci zajištění péče o osoby blízké v rámci zařízení bude uživatelům sociální služby zajištěna péče na území KVK a jejich rodinní příslušníci se nebudou stěhovat do jiného kraje, kde jsou obdobná specializovaná zařízení sociálních služeb k dispozici.</w:t>
            </w:r>
          </w:p>
          <w:p w14:paraId="5798013E" w14:textId="77777777" w:rsidR="00CB4A00" w:rsidRPr="004E3700" w:rsidRDefault="00CB4A00" w:rsidP="00C66961">
            <w:pPr>
              <w:jc w:val="both"/>
              <w:rPr>
                <w:rFonts w:cs="Arial"/>
                <w:sz w:val="18"/>
                <w:szCs w:val="18"/>
                <w:lang w:eastAsia="cs-CZ"/>
              </w:rPr>
            </w:pPr>
            <w:r w:rsidRPr="004E3700">
              <w:rPr>
                <w:rFonts w:cs="Arial"/>
                <w:sz w:val="18"/>
                <w:szCs w:val="18"/>
                <w:lang w:eastAsia="cs-CZ"/>
              </w:rPr>
              <w:t>Zvýšení kvality a dostupnosti infrastruktury pro vzdělávání.</w:t>
            </w:r>
          </w:p>
        </w:tc>
        <w:tc>
          <w:tcPr>
            <w:tcW w:w="2406" w:type="dxa"/>
          </w:tcPr>
          <w:p w14:paraId="7D749C1C" w14:textId="77777777" w:rsidR="00CB4A00" w:rsidRPr="00B46552" w:rsidRDefault="00CB4A00" w:rsidP="00C66961">
            <w:pPr>
              <w:jc w:val="both"/>
              <w:rPr>
                <w:rFonts w:eastAsia="Times New Roman" w:cs="Arial"/>
                <w:color w:val="000000"/>
                <w:sz w:val="18"/>
                <w:szCs w:val="18"/>
                <w:lang w:eastAsia="cs-CZ"/>
              </w:rPr>
            </w:pPr>
            <w:r w:rsidRPr="00B46552">
              <w:rPr>
                <w:rFonts w:eastAsia="Times New Roman" w:cs="Arial"/>
                <w:color w:val="000000"/>
                <w:sz w:val="18"/>
                <w:szCs w:val="18"/>
                <w:lang w:eastAsia="cs-CZ"/>
              </w:rPr>
              <w:t>Dopad na území celého KVK (služba poskytována uživatelům z celého KVK)</w:t>
            </w:r>
          </w:p>
        </w:tc>
        <w:tc>
          <w:tcPr>
            <w:tcW w:w="1482" w:type="dxa"/>
            <w:vAlign w:val="center"/>
          </w:tcPr>
          <w:p w14:paraId="7D95D049" w14:textId="77777777" w:rsidR="00CB4A00" w:rsidRDefault="00CB4A00" w:rsidP="00C66961">
            <w:pPr>
              <w:jc w:val="center"/>
              <w:rPr>
                <w:rFonts w:cs="Arial"/>
                <w:sz w:val="18"/>
                <w:szCs w:val="18"/>
                <w:lang w:eastAsia="cs-CZ"/>
              </w:rPr>
            </w:pPr>
            <w:r>
              <w:rPr>
                <w:rFonts w:cs="Arial"/>
                <w:sz w:val="18"/>
                <w:szCs w:val="18"/>
                <w:lang w:eastAsia="cs-CZ"/>
              </w:rPr>
              <w:t>X</w:t>
            </w:r>
          </w:p>
        </w:tc>
      </w:tr>
      <w:tr w:rsidR="00CB4A00" w14:paraId="2B33F731" w14:textId="77777777" w:rsidTr="00C66961">
        <w:trPr>
          <w:jc w:val="center"/>
        </w:trPr>
        <w:tc>
          <w:tcPr>
            <w:tcW w:w="14039" w:type="dxa"/>
            <w:gridSpan w:val="9"/>
            <w:shd w:val="clear" w:color="auto" w:fill="FFF2CC" w:themeFill="accent4" w:themeFillTint="33"/>
          </w:tcPr>
          <w:p w14:paraId="639A22BF" w14:textId="77777777" w:rsidR="00CB4A00" w:rsidRPr="00412B7C" w:rsidRDefault="00CB4A00" w:rsidP="002E4092">
            <w:pPr>
              <w:pStyle w:val="Odstavecseseznamem"/>
              <w:numPr>
                <w:ilvl w:val="0"/>
                <w:numId w:val="12"/>
              </w:numPr>
              <w:jc w:val="center"/>
              <w:rPr>
                <w:rFonts w:cs="Arial"/>
                <w:b/>
                <w:bCs/>
                <w:sz w:val="18"/>
                <w:szCs w:val="18"/>
                <w:lang w:eastAsia="cs-CZ"/>
              </w:rPr>
            </w:pPr>
            <w:r w:rsidRPr="00412B7C">
              <w:rPr>
                <w:rFonts w:eastAsia="Times New Roman" w:cs="Arial"/>
                <w:b/>
                <w:bCs/>
                <w:color w:val="000000"/>
                <w:sz w:val="18"/>
                <w:szCs w:val="18"/>
                <w:lang w:eastAsia="cs-CZ"/>
              </w:rPr>
              <w:t>Modernizace středních škol v Karlovarském kraji</w:t>
            </w:r>
          </w:p>
        </w:tc>
      </w:tr>
      <w:tr w:rsidR="00CB4A00" w14:paraId="23D6927A" w14:textId="77777777" w:rsidTr="00C66961">
        <w:trPr>
          <w:jc w:val="center"/>
        </w:trPr>
        <w:tc>
          <w:tcPr>
            <w:tcW w:w="2547" w:type="dxa"/>
          </w:tcPr>
          <w:p w14:paraId="039EEBAB" w14:textId="77777777" w:rsidR="00CB4A00" w:rsidRPr="004E3700" w:rsidRDefault="00CB4A00" w:rsidP="00C66961">
            <w:pPr>
              <w:jc w:val="both"/>
              <w:rPr>
                <w:rFonts w:cs="Arial"/>
                <w:sz w:val="18"/>
                <w:szCs w:val="18"/>
                <w:lang w:eastAsia="cs-CZ"/>
              </w:rPr>
            </w:pPr>
            <w:r w:rsidRPr="00412B7C">
              <w:rPr>
                <w:rFonts w:cs="Arial"/>
                <w:b/>
                <w:bCs/>
                <w:sz w:val="18"/>
                <w:szCs w:val="18"/>
                <w:lang w:eastAsia="cs-CZ"/>
              </w:rPr>
              <w:t>Modernizace střediska praktického vyučování ISŠTE Sokolov;</w:t>
            </w:r>
            <w:r w:rsidRPr="00412B7C">
              <w:rPr>
                <w:rFonts w:cs="Arial"/>
                <w:sz w:val="18"/>
                <w:szCs w:val="18"/>
                <w:lang w:eastAsia="cs-CZ"/>
              </w:rPr>
              <w:t xml:space="preserve"> Revitalizace objektu pro potřeby instalace nových strojů a zařízení. Nákup nových strojů a přístrojů (frézky - /i CNC/, soustruhy - /i CNC/, vrtačky, pily, diagnostika, brusky aj.). </w:t>
            </w:r>
            <w:r w:rsidRPr="00412B7C">
              <w:rPr>
                <w:rFonts w:cs="Arial"/>
                <w:sz w:val="18"/>
                <w:szCs w:val="18"/>
                <w:lang w:eastAsia="cs-CZ"/>
              </w:rPr>
              <w:lastRenderedPageBreak/>
              <w:t>Nákup nového zařízení a nábytku – pracovní stoly se svěráky, stoly pro instalace, skříně na nářadí a materiál. Vybavení místností pro zázemí učitelů odborného výcviku, zázemí skladů a přípraven materiálu. Svářečské agregáty, zástěny. Vybavení učebny a laboratoře teoretické přípravy technikou a nábytkem. Vybavení učeben a dílen pro výuku oborů technické zařízení budov a instalatérů. Revitalizace kovárny a přípravny.</w:t>
            </w:r>
          </w:p>
        </w:tc>
        <w:tc>
          <w:tcPr>
            <w:tcW w:w="1001" w:type="dxa"/>
          </w:tcPr>
          <w:p w14:paraId="02C3C2EF" w14:textId="77777777" w:rsidR="00CB4A00" w:rsidRPr="004E3700" w:rsidRDefault="00CB4A00" w:rsidP="00C66961">
            <w:pPr>
              <w:jc w:val="both"/>
              <w:rPr>
                <w:rFonts w:cs="Arial"/>
                <w:sz w:val="18"/>
                <w:szCs w:val="18"/>
                <w:lang w:eastAsia="cs-CZ"/>
              </w:rPr>
            </w:pPr>
            <w:r w:rsidRPr="00412B7C">
              <w:rPr>
                <w:rFonts w:cs="Arial"/>
                <w:sz w:val="18"/>
                <w:szCs w:val="18"/>
                <w:lang w:eastAsia="cs-CZ"/>
              </w:rPr>
              <w:lastRenderedPageBreak/>
              <w:t>90 mil. Kč vč. DPH</w:t>
            </w:r>
          </w:p>
        </w:tc>
        <w:tc>
          <w:tcPr>
            <w:tcW w:w="1692" w:type="dxa"/>
            <w:gridSpan w:val="2"/>
          </w:tcPr>
          <w:p w14:paraId="2B1A0D10" w14:textId="77777777" w:rsidR="00CB4A00" w:rsidRPr="004E3700" w:rsidRDefault="00CB4A00" w:rsidP="00C66961">
            <w:pPr>
              <w:jc w:val="both"/>
              <w:rPr>
                <w:rFonts w:cs="Arial"/>
                <w:sz w:val="18"/>
                <w:szCs w:val="18"/>
                <w:lang w:eastAsia="cs-CZ"/>
              </w:rPr>
            </w:pPr>
            <w:r w:rsidRPr="00412B7C">
              <w:rPr>
                <w:rFonts w:cs="Arial"/>
                <w:sz w:val="18"/>
                <w:szCs w:val="18"/>
                <w:lang w:eastAsia="cs-CZ"/>
              </w:rPr>
              <w:t>EU fondy 2021+ (nástupce IROP, OP VVV), Fond spravedlivé transformace – tematické výzvy</w:t>
            </w:r>
          </w:p>
        </w:tc>
        <w:tc>
          <w:tcPr>
            <w:tcW w:w="2748" w:type="dxa"/>
            <w:gridSpan w:val="2"/>
          </w:tcPr>
          <w:p w14:paraId="2173E82C" w14:textId="77777777" w:rsidR="00CB4A00" w:rsidRPr="00412B7C" w:rsidRDefault="00CB4A00" w:rsidP="00C66961">
            <w:pPr>
              <w:jc w:val="both"/>
              <w:rPr>
                <w:rFonts w:cs="Arial"/>
                <w:sz w:val="18"/>
                <w:szCs w:val="18"/>
                <w:lang w:eastAsia="cs-CZ"/>
              </w:rPr>
            </w:pPr>
            <w:r w:rsidRPr="00412B7C">
              <w:rPr>
                <w:rFonts w:cs="Arial"/>
                <w:sz w:val="18"/>
                <w:szCs w:val="18"/>
                <w:lang w:eastAsia="cs-CZ"/>
              </w:rPr>
              <w:t>Podpora tradičních oborů s dlouholetou historií na území KV kraje. Zvýšení zájmu a žáků a studentů o studium obecně, o tradiční obory zvlášť</w:t>
            </w:r>
          </w:p>
          <w:p w14:paraId="769EA3CB" w14:textId="77777777" w:rsidR="00CB4A00" w:rsidRPr="004E3700" w:rsidRDefault="00CB4A00" w:rsidP="00C66961">
            <w:pPr>
              <w:jc w:val="both"/>
              <w:rPr>
                <w:rFonts w:cs="Arial"/>
                <w:sz w:val="18"/>
                <w:szCs w:val="18"/>
                <w:lang w:eastAsia="cs-CZ"/>
              </w:rPr>
            </w:pPr>
            <w:r w:rsidRPr="00412B7C">
              <w:rPr>
                <w:rFonts w:cs="Arial"/>
                <w:sz w:val="18"/>
                <w:szCs w:val="18"/>
                <w:lang w:eastAsia="cs-CZ"/>
              </w:rPr>
              <w:t xml:space="preserve">Zvýšení provázanosti obsahu středoškolských a vysokoškolských programů ve strukturálně postižených </w:t>
            </w:r>
            <w:r w:rsidRPr="00412B7C">
              <w:rPr>
                <w:rFonts w:cs="Arial"/>
                <w:sz w:val="18"/>
                <w:szCs w:val="18"/>
                <w:lang w:eastAsia="cs-CZ"/>
              </w:rPr>
              <w:lastRenderedPageBreak/>
              <w:t>regionech s potřebami trhu práce, a tedy i zvýšení atraktivity studia pro zájemce o studium.</w:t>
            </w:r>
          </w:p>
        </w:tc>
        <w:tc>
          <w:tcPr>
            <w:tcW w:w="2163" w:type="dxa"/>
          </w:tcPr>
          <w:p w14:paraId="3EFE8B59" w14:textId="77777777" w:rsidR="00CB4A00" w:rsidRPr="004E3700" w:rsidRDefault="00CB4A00" w:rsidP="00C66961">
            <w:pPr>
              <w:jc w:val="both"/>
              <w:rPr>
                <w:rFonts w:cs="Arial"/>
                <w:sz w:val="18"/>
                <w:szCs w:val="18"/>
                <w:lang w:eastAsia="cs-CZ"/>
              </w:rPr>
            </w:pPr>
            <w:r w:rsidRPr="00412B7C">
              <w:rPr>
                <w:rFonts w:cs="Arial"/>
                <w:sz w:val="18"/>
                <w:szCs w:val="18"/>
                <w:lang w:eastAsia="cs-CZ"/>
              </w:rPr>
              <w:lastRenderedPageBreak/>
              <w:t>Zvýšení kvality a dostupnosti infrastruktury pro vzdělávání.</w:t>
            </w:r>
          </w:p>
        </w:tc>
        <w:tc>
          <w:tcPr>
            <w:tcW w:w="2406" w:type="dxa"/>
          </w:tcPr>
          <w:p w14:paraId="46349EB0" w14:textId="77777777" w:rsidR="00CB4A00" w:rsidRPr="00B46552" w:rsidRDefault="00CB4A00" w:rsidP="00C66961">
            <w:pPr>
              <w:jc w:val="both"/>
              <w:rPr>
                <w:rFonts w:eastAsia="Times New Roman" w:cs="Arial"/>
                <w:color w:val="000000"/>
                <w:sz w:val="18"/>
                <w:szCs w:val="18"/>
                <w:lang w:eastAsia="cs-CZ"/>
              </w:rPr>
            </w:pPr>
            <w:r w:rsidRPr="00412B7C">
              <w:rPr>
                <w:rFonts w:eastAsia="Times New Roman" w:cs="Arial"/>
                <w:color w:val="000000"/>
                <w:sz w:val="18"/>
                <w:szCs w:val="18"/>
                <w:lang w:eastAsia="cs-CZ"/>
              </w:rPr>
              <w:t>Realizace projektu bude mít dopad na celé území kraje.</w:t>
            </w:r>
          </w:p>
        </w:tc>
        <w:tc>
          <w:tcPr>
            <w:tcW w:w="1482" w:type="dxa"/>
            <w:vAlign w:val="center"/>
          </w:tcPr>
          <w:p w14:paraId="6BB8991B" w14:textId="77777777" w:rsidR="00CB4A00" w:rsidRDefault="00CB4A00" w:rsidP="00C66961">
            <w:pPr>
              <w:jc w:val="center"/>
              <w:rPr>
                <w:rFonts w:cs="Arial"/>
                <w:sz w:val="18"/>
                <w:szCs w:val="18"/>
                <w:lang w:eastAsia="cs-CZ"/>
              </w:rPr>
            </w:pPr>
            <w:r w:rsidRPr="00412B7C">
              <w:rPr>
                <w:rFonts w:cs="Arial"/>
                <w:sz w:val="18"/>
                <w:szCs w:val="18"/>
                <w:lang w:eastAsia="cs-CZ"/>
              </w:rPr>
              <w:t>X</w:t>
            </w:r>
          </w:p>
        </w:tc>
      </w:tr>
      <w:tr w:rsidR="00CB4A00" w14:paraId="422DB7DC" w14:textId="77777777" w:rsidTr="00C66961">
        <w:trPr>
          <w:jc w:val="center"/>
        </w:trPr>
        <w:tc>
          <w:tcPr>
            <w:tcW w:w="2547" w:type="dxa"/>
          </w:tcPr>
          <w:p w14:paraId="79BE1AEC" w14:textId="77777777" w:rsidR="00CB4A00" w:rsidRPr="004E3700" w:rsidRDefault="00CB4A00" w:rsidP="00C66961">
            <w:pPr>
              <w:tabs>
                <w:tab w:val="left" w:pos="1640"/>
              </w:tabs>
              <w:jc w:val="both"/>
              <w:rPr>
                <w:rFonts w:cs="Arial"/>
                <w:sz w:val="18"/>
                <w:szCs w:val="18"/>
                <w:lang w:eastAsia="cs-CZ"/>
              </w:rPr>
            </w:pPr>
            <w:r w:rsidRPr="00412B7C">
              <w:rPr>
                <w:rFonts w:cs="Arial"/>
                <w:b/>
                <w:bCs/>
                <w:sz w:val="18"/>
                <w:szCs w:val="18"/>
                <w:lang w:eastAsia="cs-CZ"/>
              </w:rPr>
              <w:t>Rekonstrukce, vybudování a vybavení laboratoří a odborných učeben přírodovědných předmětů včetně jejich přizpůsobení pro hendikepované"</w:t>
            </w:r>
            <w:r w:rsidRPr="00412B7C">
              <w:rPr>
                <w:rFonts w:cs="Arial"/>
                <w:sz w:val="18"/>
                <w:szCs w:val="18"/>
                <w:lang w:eastAsia="cs-CZ"/>
              </w:rPr>
              <w:t xml:space="preserve"> Gymnázia Cheb, příspěvkové organizace</w:t>
            </w:r>
          </w:p>
        </w:tc>
        <w:tc>
          <w:tcPr>
            <w:tcW w:w="1001" w:type="dxa"/>
          </w:tcPr>
          <w:p w14:paraId="0D1BD051" w14:textId="77777777" w:rsidR="00CB4A00" w:rsidRPr="004E3700" w:rsidRDefault="00CB4A00" w:rsidP="00C66961">
            <w:pPr>
              <w:jc w:val="both"/>
              <w:rPr>
                <w:rFonts w:cs="Arial"/>
                <w:sz w:val="18"/>
                <w:szCs w:val="18"/>
                <w:lang w:eastAsia="cs-CZ"/>
              </w:rPr>
            </w:pPr>
            <w:r w:rsidRPr="00412B7C">
              <w:rPr>
                <w:rFonts w:cs="Arial"/>
                <w:sz w:val="18"/>
                <w:szCs w:val="18"/>
                <w:lang w:eastAsia="cs-CZ"/>
              </w:rPr>
              <w:t>18,1 mil. Kč vč. DPH</w:t>
            </w:r>
          </w:p>
        </w:tc>
        <w:tc>
          <w:tcPr>
            <w:tcW w:w="1692" w:type="dxa"/>
            <w:gridSpan w:val="2"/>
          </w:tcPr>
          <w:p w14:paraId="7F135B36" w14:textId="3AD5ED46" w:rsidR="00CB4A00" w:rsidRPr="004E3700" w:rsidRDefault="009F5526" w:rsidP="009F5526">
            <w:pPr>
              <w:jc w:val="both"/>
              <w:rPr>
                <w:rFonts w:cs="Arial"/>
                <w:sz w:val="18"/>
                <w:szCs w:val="18"/>
                <w:lang w:eastAsia="cs-CZ"/>
              </w:rPr>
            </w:pPr>
            <w:r>
              <w:rPr>
                <w:rFonts w:cs="Arial"/>
                <w:sz w:val="18"/>
                <w:szCs w:val="18"/>
                <w:lang w:eastAsia="cs-CZ"/>
              </w:rPr>
              <w:t xml:space="preserve">OPST, </w:t>
            </w:r>
            <w:r w:rsidR="00CB4A00" w:rsidRPr="00412B7C">
              <w:rPr>
                <w:rFonts w:cs="Arial"/>
                <w:sz w:val="18"/>
                <w:szCs w:val="18"/>
                <w:lang w:eastAsia="cs-CZ"/>
              </w:rPr>
              <w:t xml:space="preserve">EU fondy - 2021+ (nástupce IROP, OP </w:t>
            </w:r>
            <w:r>
              <w:rPr>
                <w:rFonts w:cs="Arial"/>
                <w:sz w:val="18"/>
                <w:szCs w:val="18"/>
                <w:lang w:eastAsia="cs-CZ"/>
              </w:rPr>
              <w:t>JAK</w:t>
            </w:r>
            <w:r w:rsidR="00CB4A00" w:rsidRPr="00412B7C">
              <w:rPr>
                <w:rFonts w:cs="Arial"/>
                <w:sz w:val="18"/>
                <w:szCs w:val="18"/>
                <w:lang w:eastAsia="cs-CZ"/>
              </w:rPr>
              <w:t xml:space="preserve">) </w:t>
            </w:r>
          </w:p>
        </w:tc>
        <w:tc>
          <w:tcPr>
            <w:tcW w:w="2748" w:type="dxa"/>
            <w:gridSpan w:val="2"/>
          </w:tcPr>
          <w:p w14:paraId="249F11C4" w14:textId="77777777" w:rsidR="00CB4A00" w:rsidRPr="004E3700" w:rsidRDefault="00CB4A00" w:rsidP="00C66961">
            <w:pPr>
              <w:jc w:val="both"/>
              <w:rPr>
                <w:rFonts w:cs="Arial"/>
                <w:sz w:val="18"/>
                <w:szCs w:val="18"/>
                <w:lang w:eastAsia="cs-CZ"/>
              </w:rPr>
            </w:pPr>
            <w:r w:rsidRPr="00412B7C">
              <w:rPr>
                <w:rFonts w:cs="Arial"/>
                <w:sz w:val="18"/>
                <w:szCs w:val="18"/>
                <w:lang w:eastAsia="cs-CZ"/>
              </w:rPr>
              <w:t>Podpora tradičních oborů s dlouholetou historií na území KVK</w:t>
            </w:r>
            <w:r>
              <w:rPr>
                <w:rFonts w:cs="Arial"/>
                <w:sz w:val="18"/>
                <w:szCs w:val="18"/>
                <w:lang w:eastAsia="cs-CZ"/>
              </w:rPr>
              <w:t xml:space="preserve"> a </w:t>
            </w:r>
            <w:r w:rsidRPr="00412B7C">
              <w:rPr>
                <w:rFonts w:cs="Arial"/>
                <w:sz w:val="18"/>
                <w:szCs w:val="18"/>
                <w:lang w:eastAsia="cs-CZ"/>
              </w:rPr>
              <w:t>zvýšení zájmu a žáků a studentů o studium obecně, o tradiční obory zvlášť. Zvýšení provázanosti obsahu středoškolských a vysokoškolských programů ve strukturálně postižených regionech s potřebami trhu práce, a tedy i zvýšení atraktivity studia pro zájemce o studium.</w:t>
            </w:r>
          </w:p>
        </w:tc>
        <w:tc>
          <w:tcPr>
            <w:tcW w:w="2163" w:type="dxa"/>
          </w:tcPr>
          <w:p w14:paraId="05795C75" w14:textId="77777777" w:rsidR="00CB4A00" w:rsidRPr="004E3700" w:rsidRDefault="00CB4A00" w:rsidP="00C66961">
            <w:pPr>
              <w:jc w:val="both"/>
              <w:rPr>
                <w:rFonts w:cs="Arial"/>
                <w:sz w:val="18"/>
                <w:szCs w:val="18"/>
                <w:lang w:eastAsia="cs-CZ"/>
              </w:rPr>
            </w:pPr>
            <w:r w:rsidRPr="00412B7C">
              <w:rPr>
                <w:rFonts w:cs="Arial"/>
                <w:sz w:val="18"/>
                <w:szCs w:val="18"/>
                <w:lang w:eastAsia="cs-CZ"/>
              </w:rPr>
              <w:t>Zvýšení kvality a dostupnosti infrastruktury pro vzdělávání.</w:t>
            </w:r>
          </w:p>
        </w:tc>
        <w:tc>
          <w:tcPr>
            <w:tcW w:w="2406" w:type="dxa"/>
          </w:tcPr>
          <w:p w14:paraId="1BDC9639" w14:textId="77777777" w:rsidR="00CB4A00" w:rsidRPr="00B46552" w:rsidRDefault="00CB4A00" w:rsidP="00C66961">
            <w:pPr>
              <w:jc w:val="both"/>
              <w:rPr>
                <w:rFonts w:eastAsia="Times New Roman" w:cs="Arial"/>
                <w:color w:val="000000"/>
                <w:sz w:val="18"/>
                <w:szCs w:val="18"/>
                <w:lang w:eastAsia="cs-CZ"/>
              </w:rPr>
            </w:pPr>
            <w:r w:rsidRPr="00B46552">
              <w:rPr>
                <w:rFonts w:eastAsia="Times New Roman" w:cs="Arial"/>
                <w:color w:val="000000"/>
                <w:sz w:val="18"/>
                <w:szCs w:val="18"/>
                <w:lang w:eastAsia="cs-CZ"/>
              </w:rPr>
              <w:t>Realizace projektu bude mít dopad na celé území kraje.</w:t>
            </w:r>
          </w:p>
        </w:tc>
        <w:tc>
          <w:tcPr>
            <w:tcW w:w="1482" w:type="dxa"/>
            <w:vAlign w:val="center"/>
          </w:tcPr>
          <w:p w14:paraId="787BD881" w14:textId="77777777" w:rsidR="00CB4A00" w:rsidRDefault="00CB4A00" w:rsidP="00C66961">
            <w:pPr>
              <w:jc w:val="center"/>
              <w:rPr>
                <w:rFonts w:cs="Arial"/>
                <w:sz w:val="18"/>
                <w:szCs w:val="18"/>
                <w:lang w:eastAsia="cs-CZ"/>
              </w:rPr>
            </w:pPr>
            <w:r>
              <w:rPr>
                <w:rFonts w:eastAsia="Times New Roman" w:cs="Arial"/>
                <w:color w:val="000000"/>
                <w:sz w:val="18"/>
                <w:szCs w:val="18"/>
                <w:lang w:eastAsia="cs-CZ"/>
              </w:rPr>
              <w:t>X</w:t>
            </w:r>
          </w:p>
        </w:tc>
      </w:tr>
      <w:tr w:rsidR="00CB4A00" w14:paraId="2DE29125" w14:textId="77777777" w:rsidTr="00C66961">
        <w:trPr>
          <w:jc w:val="center"/>
        </w:trPr>
        <w:tc>
          <w:tcPr>
            <w:tcW w:w="2547" w:type="dxa"/>
          </w:tcPr>
          <w:p w14:paraId="6EF35B72" w14:textId="77777777" w:rsidR="00CB4A00" w:rsidRPr="004E3700" w:rsidRDefault="00CB4A00" w:rsidP="00C66961">
            <w:pPr>
              <w:jc w:val="both"/>
              <w:rPr>
                <w:rFonts w:cs="Arial"/>
                <w:sz w:val="18"/>
                <w:szCs w:val="18"/>
                <w:lang w:eastAsia="cs-CZ"/>
              </w:rPr>
            </w:pPr>
            <w:r w:rsidRPr="00B935AD">
              <w:rPr>
                <w:rFonts w:eastAsia="Times New Roman" w:cs="Arial"/>
                <w:b/>
                <w:bCs/>
                <w:color w:val="000000"/>
                <w:sz w:val="18"/>
                <w:szCs w:val="18"/>
                <w:lang w:eastAsia="cs-CZ"/>
              </w:rPr>
              <w:t>Vybudování učeben fyzikální terapie, rekondic a regenerace včetně bezbariérového přístupu;</w:t>
            </w:r>
            <w:r w:rsidRPr="00B46552">
              <w:rPr>
                <w:rFonts w:eastAsia="Times New Roman" w:cs="Arial"/>
                <w:color w:val="000000"/>
                <w:sz w:val="18"/>
                <w:szCs w:val="18"/>
                <w:lang w:eastAsia="cs-CZ"/>
              </w:rPr>
              <w:t xml:space="preserve"> Střední zdravotnické školy a vyšší odborné školy Cheb, příspěvkové organizace</w:t>
            </w:r>
          </w:p>
        </w:tc>
        <w:tc>
          <w:tcPr>
            <w:tcW w:w="1001" w:type="dxa"/>
          </w:tcPr>
          <w:p w14:paraId="09080D2B" w14:textId="77777777" w:rsidR="00CB4A00" w:rsidRPr="004E3700" w:rsidRDefault="00CB4A00" w:rsidP="00C66961">
            <w:pPr>
              <w:rPr>
                <w:rFonts w:cs="Arial"/>
                <w:sz w:val="18"/>
                <w:szCs w:val="18"/>
                <w:lang w:eastAsia="cs-CZ"/>
              </w:rPr>
            </w:pPr>
            <w:r w:rsidRPr="00B46552">
              <w:rPr>
                <w:rFonts w:eastAsia="Times New Roman" w:cs="Arial"/>
                <w:color w:val="000000"/>
                <w:sz w:val="18"/>
                <w:szCs w:val="18"/>
                <w:lang w:eastAsia="cs-CZ"/>
              </w:rPr>
              <w:t>12,55 mil. Kč vč. DPH</w:t>
            </w:r>
          </w:p>
        </w:tc>
        <w:tc>
          <w:tcPr>
            <w:tcW w:w="1692" w:type="dxa"/>
            <w:gridSpan w:val="2"/>
          </w:tcPr>
          <w:p w14:paraId="14EDDBB4" w14:textId="16BF1002" w:rsidR="00CB4A00" w:rsidRPr="004E3700" w:rsidRDefault="009F5526" w:rsidP="009F5526">
            <w:pPr>
              <w:jc w:val="both"/>
              <w:rPr>
                <w:rFonts w:cs="Arial"/>
                <w:sz w:val="18"/>
                <w:szCs w:val="18"/>
                <w:lang w:eastAsia="cs-CZ"/>
              </w:rPr>
            </w:pPr>
            <w:r>
              <w:rPr>
                <w:rFonts w:cs="Arial"/>
                <w:sz w:val="18"/>
                <w:szCs w:val="18"/>
                <w:lang w:eastAsia="cs-CZ"/>
              </w:rPr>
              <w:t xml:space="preserve">OPST, </w:t>
            </w:r>
            <w:r w:rsidR="00CB4A00" w:rsidRPr="00412B7C">
              <w:rPr>
                <w:rFonts w:cs="Arial"/>
                <w:sz w:val="18"/>
                <w:szCs w:val="18"/>
                <w:lang w:eastAsia="cs-CZ"/>
              </w:rPr>
              <w:t xml:space="preserve">EU fondy - 2021+ (nástupce IROP, OP </w:t>
            </w:r>
            <w:r>
              <w:rPr>
                <w:rFonts w:cs="Arial"/>
                <w:sz w:val="18"/>
                <w:szCs w:val="18"/>
                <w:lang w:eastAsia="cs-CZ"/>
              </w:rPr>
              <w:t>JAK</w:t>
            </w:r>
            <w:r w:rsidR="00CB4A00" w:rsidRPr="00412B7C">
              <w:rPr>
                <w:rFonts w:cs="Arial"/>
                <w:sz w:val="18"/>
                <w:szCs w:val="18"/>
                <w:lang w:eastAsia="cs-CZ"/>
              </w:rPr>
              <w:t xml:space="preserve">) </w:t>
            </w:r>
          </w:p>
        </w:tc>
        <w:tc>
          <w:tcPr>
            <w:tcW w:w="2748" w:type="dxa"/>
            <w:gridSpan w:val="2"/>
          </w:tcPr>
          <w:p w14:paraId="04123AE5" w14:textId="77777777" w:rsidR="00CB4A00" w:rsidRPr="004E3700" w:rsidRDefault="00CB4A00" w:rsidP="00C66961">
            <w:pPr>
              <w:jc w:val="both"/>
              <w:rPr>
                <w:rFonts w:cs="Arial"/>
                <w:sz w:val="18"/>
                <w:szCs w:val="18"/>
                <w:lang w:eastAsia="cs-CZ"/>
              </w:rPr>
            </w:pPr>
            <w:r>
              <w:rPr>
                <w:rFonts w:eastAsia="Times New Roman" w:cs="Arial"/>
                <w:color w:val="000000"/>
                <w:sz w:val="18"/>
                <w:szCs w:val="18"/>
                <w:lang w:eastAsia="cs-CZ"/>
              </w:rPr>
              <w:t>P</w:t>
            </w:r>
            <w:r w:rsidRPr="00B46552">
              <w:rPr>
                <w:rFonts w:eastAsia="Times New Roman" w:cs="Arial"/>
                <w:color w:val="000000"/>
                <w:sz w:val="18"/>
                <w:szCs w:val="18"/>
                <w:lang w:eastAsia="cs-CZ"/>
              </w:rPr>
              <w:t>odpora oborů s dlouholetou historií na území KV kraje</w:t>
            </w:r>
            <w:r>
              <w:rPr>
                <w:rFonts w:eastAsia="Times New Roman" w:cs="Arial"/>
                <w:color w:val="000000"/>
                <w:sz w:val="18"/>
                <w:szCs w:val="18"/>
                <w:lang w:eastAsia="cs-CZ"/>
              </w:rPr>
              <w:t>. Z</w:t>
            </w:r>
            <w:r w:rsidRPr="00B46552">
              <w:rPr>
                <w:rFonts w:eastAsia="Times New Roman" w:cs="Arial"/>
                <w:color w:val="000000"/>
                <w:sz w:val="18"/>
                <w:szCs w:val="18"/>
                <w:lang w:eastAsia="cs-CZ"/>
              </w:rPr>
              <w:t>výšení zájmu a žáků a studentů o studium obecně</w:t>
            </w:r>
            <w:r>
              <w:rPr>
                <w:rFonts w:eastAsia="Times New Roman" w:cs="Arial"/>
                <w:color w:val="000000"/>
                <w:sz w:val="18"/>
                <w:szCs w:val="18"/>
                <w:lang w:eastAsia="cs-CZ"/>
              </w:rPr>
              <w:t xml:space="preserve"> a </w:t>
            </w:r>
            <w:r w:rsidRPr="00B46552">
              <w:rPr>
                <w:rFonts w:eastAsia="Times New Roman" w:cs="Arial"/>
                <w:color w:val="000000"/>
                <w:sz w:val="18"/>
                <w:szCs w:val="18"/>
                <w:lang w:eastAsia="cs-CZ"/>
              </w:rPr>
              <w:t xml:space="preserve">zvýšení provázanosti obsahu středoškolských a vysokoškolských programů ve strukturálně postižených regionech s potřebami trhu </w:t>
            </w:r>
            <w:r w:rsidRPr="00B46552">
              <w:rPr>
                <w:rFonts w:eastAsia="Times New Roman" w:cs="Arial"/>
                <w:color w:val="000000"/>
                <w:sz w:val="18"/>
                <w:szCs w:val="18"/>
                <w:lang w:eastAsia="cs-CZ"/>
              </w:rPr>
              <w:lastRenderedPageBreak/>
              <w:t>práce, a tedy i zvýšení atraktivity studia pro zájemce o studium</w:t>
            </w:r>
            <w:r>
              <w:rPr>
                <w:rFonts w:eastAsia="Times New Roman" w:cs="Arial"/>
                <w:color w:val="000000"/>
                <w:sz w:val="18"/>
                <w:szCs w:val="18"/>
                <w:lang w:eastAsia="cs-CZ"/>
              </w:rPr>
              <w:t>.</w:t>
            </w:r>
          </w:p>
        </w:tc>
        <w:tc>
          <w:tcPr>
            <w:tcW w:w="2163" w:type="dxa"/>
          </w:tcPr>
          <w:p w14:paraId="4A6A2700" w14:textId="77777777" w:rsidR="00CB4A00" w:rsidRPr="004E3700" w:rsidRDefault="00CB4A00" w:rsidP="00C66961">
            <w:pPr>
              <w:jc w:val="both"/>
              <w:rPr>
                <w:rFonts w:cs="Arial"/>
                <w:sz w:val="18"/>
                <w:szCs w:val="18"/>
                <w:lang w:eastAsia="cs-CZ"/>
              </w:rPr>
            </w:pPr>
            <w:r>
              <w:rPr>
                <w:rFonts w:eastAsia="Times New Roman" w:cs="Arial"/>
                <w:color w:val="000000"/>
                <w:sz w:val="18"/>
                <w:szCs w:val="18"/>
                <w:lang w:eastAsia="cs-CZ"/>
              </w:rPr>
              <w:lastRenderedPageBreak/>
              <w:t>Z</w:t>
            </w:r>
            <w:r w:rsidRPr="00B46552">
              <w:rPr>
                <w:rFonts w:eastAsia="Times New Roman" w:cs="Arial"/>
                <w:color w:val="000000"/>
                <w:sz w:val="18"/>
                <w:szCs w:val="18"/>
                <w:lang w:eastAsia="cs-CZ"/>
              </w:rPr>
              <w:t>výšení kvality a dostupnosti infrastruktury pro vzdělávání</w:t>
            </w:r>
            <w:r>
              <w:rPr>
                <w:rFonts w:eastAsia="Times New Roman" w:cs="Arial"/>
                <w:color w:val="000000"/>
                <w:sz w:val="18"/>
                <w:szCs w:val="18"/>
                <w:lang w:eastAsia="cs-CZ"/>
              </w:rPr>
              <w:t>.</w:t>
            </w:r>
          </w:p>
        </w:tc>
        <w:tc>
          <w:tcPr>
            <w:tcW w:w="2406" w:type="dxa"/>
          </w:tcPr>
          <w:p w14:paraId="65671399" w14:textId="77777777" w:rsidR="00CB4A00" w:rsidRPr="00B46552" w:rsidRDefault="00CB4A00" w:rsidP="00C66961">
            <w:pPr>
              <w:jc w:val="both"/>
              <w:rPr>
                <w:rFonts w:eastAsia="Times New Roman" w:cs="Arial"/>
                <w:color w:val="000000"/>
                <w:sz w:val="18"/>
                <w:szCs w:val="18"/>
                <w:lang w:eastAsia="cs-CZ"/>
              </w:rPr>
            </w:pPr>
            <w:r w:rsidRPr="00B46552">
              <w:rPr>
                <w:rFonts w:eastAsia="Times New Roman" w:cs="Arial"/>
                <w:color w:val="000000"/>
                <w:sz w:val="18"/>
                <w:szCs w:val="18"/>
                <w:lang w:eastAsia="cs-CZ"/>
              </w:rPr>
              <w:t>Realizace projektu bude mít dopad na celé území kraje.</w:t>
            </w:r>
          </w:p>
        </w:tc>
        <w:tc>
          <w:tcPr>
            <w:tcW w:w="1482" w:type="dxa"/>
            <w:vAlign w:val="center"/>
          </w:tcPr>
          <w:p w14:paraId="3E67C44D" w14:textId="77777777" w:rsidR="00CB4A00" w:rsidRDefault="00CB4A00" w:rsidP="00C66961">
            <w:pPr>
              <w:jc w:val="center"/>
              <w:rPr>
                <w:rFonts w:cs="Arial"/>
                <w:sz w:val="18"/>
                <w:szCs w:val="18"/>
                <w:lang w:eastAsia="cs-CZ"/>
              </w:rPr>
            </w:pPr>
            <w:r>
              <w:rPr>
                <w:rFonts w:eastAsia="Times New Roman" w:cs="Arial"/>
                <w:color w:val="000000"/>
                <w:sz w:val="18"/>
                <w:szCs w:val="18"/>
                <w:lang w:eastAsia="cs-CZ"/>
              </w:rPr>
              <w:t>X</w:t>
            </w:r>
          </w:p>
        </w:tc>
      </w:tr>
      <w:tr w:rsidR="000507F7" w14:paraId="0F15C7D5" w14:textId="77777777" w:rsidTr="00BB5390">
        <w:trPr>
          <w:jc w:val="center"/>
        </w:trPr>
        <w:tc>
          <w:tcPr>
            <w:tcW w:w="14039" w:type="dxa"/>
            <w:gridSpan w:val="9"/>
            <w:shd w:val="clear" w:color="auto" w:fill="FFF2CC" w:themeFill="accent4" w:themeFillTint="33"/>
          </w:tcPr>
          <w:p w14:paraId="26CC84F7" w14:textId="5B2011DB" w:rsidR="000507F7" w:rsidRPr="00BB5390" w:rsidRDefault="000507F7" w:rsidP="002E4092">
            <w:pPr>
              <w:pStyle w:val="Odstavecseseznamem"/>
              <w:numPr>
                <w:ilvl w:val="0"/>
                <w:numId w:val="12"/>
              </w:numPr>
              <w:jc w:val="center"/>
              <w:rPr>
                <w:rFonts w:eastAsia="Times New Roman" w:cs="Arial"/>
                <w:color w:val="000000"/>
                <w:sz w:val="18"/>
                <w:szCs w:val="18"/>
                <w:lang w:eastAsia="cs-CZ"/>
              </w:rPr>
            </w:pPr>
            <w:r w:rsidRPr="00BB5390">
              <w:rPr>
                <w:rFonts w:eastAsia="Times New Roman" w:cs="Arial"/>
                <w:b/>
                <w:bCs/>
                <w:color w:val="000000"/>
                <w:sz w:val="18"/>
                <w:szCs w:val="18"/>
                <w:lang w:eastAsia="cs-CZ"/>
              </w:rPr>
              <w:t>Zdravotnictví</w:t>
            </w:r>
          </w:p>
        </w:tc>
      </w:tr>
      <w:tr w:rsidR="000507F7" w14:paraId="2F3BE9F9" w14:textId="77777777" w:rsidTr="00BB5390">
        <w:trPr>
          <w:jc w:val="center"/>
        </w:trPr>
        <w:tc>
          <w:tcPr>
            <w:tcW w:w="2547" w:type="dxa"/>
            <w:shd w:val="clear" w:color="auto" w:fill="auto"/>
          </w:tcPr>
          <w:p w14:paraId="288BCDE0" w14:textId="77777777" w:rsidR="000507F7" w:rsidRPr="00AF30D8" w:rsidRDefault="000507F7" w:rsidP="000507F7">
            <w:pPr>
              <w:jc w:val="both"/>
              <w:rPr>
                <w:rFonts w:eastAsia="Times New Roman" w:cs="Arial"/>
                <w:color w:val="000000"/>
                <w:sz w:val="18"/>
                <w:szCs w:val="18"/>
                <w:lang w:eastAsia="cs-CZ"/>
              </w:rPr>
            </w:pPr>
            <w:r w:rsidRPr="004F0D75">
              <w:rPr>
                <w:rFonts w:eastAsia="Times New Roman" w:cs="Arial"/>
                <w:b/>
                <w:bCs/>
                <w:color w:val="000000"/>
                <w:sz w:val="18"/>
                <w:szCs w:val="18"/>
                <w:lang w:eastAsia="cs-CZ"/>
              </w:rPr>
              <w:t>Generel dostavby areálu nemocnice v Karlových Varech</w:t>
            </w:r>
            <w:r w:rsidRPr="00AF30D8">
              <w:rPr>
                <w:rFonts w:eastAsia="Times New Roman" w:cs="Arial"/>
                <w:color w:val="000000"/>
                <w:sz w:val="18"/>
                <w:szCs w:val="18"/>
                <w:lang w:eastAsia="cs-CZ"/>
              </w:rPr>
              <w:t xml:space="preserve"> </w:t>
            </w:r>
            <w:r w:rsidRPr="00AF30D8">
              <w:rPr>
                <w:rFonts w:eastAsia="Times New Roman" w:cs="Arial"/>
                <w:color w:val="000000"/>
                <w:sz w:val="18"/>
                <w:szCs w:val="18"/>
                <w:lang w:eastAsia="cs-CZ"/>
              </w:rPr>
              <w:br/>
              <w:t>Plnění 1. etapy je rozděleno na dvě části.</w:t>
            </w:r>
          </w:p>
          <w:p w14:paraId="1665E1BF" w14:textId="77777777" w:rsidR="000507F7" w:rsidRPr="00AF30D8" w:rsidRDefault="000507F7" w:rsidP="000507F7">
            <w:pPr>
              <w:jc w:val="both"/>
              <w:rPr>
                <w:rFonts w:eastAsia="Times New Roman" w:cs="Arial"/>
                <w:color w:val="000000"/>
                <w:sz w:val="18"/>
                <w:szCs w:val="18"/>
                <w:lang w:eastAsia="cs-CZ"/>
              </w:rPr>
            </w:pPr>
            <w:r w:rsidRPr="00AF30D8">
              <w:rPr>
                <w:rFonts w:eastAsia="Times New Roman" w:cs="Arial"/>
                <w:color w:val="000000"/>
                <w:sz w:val="18"/>
                <w:szCs w:val="18"/>
                <w:lang w:eastAsia="cs-CZ"/>
              </w:rPr>
              <w:t>1. etapa část 1; demolice objektu K (nevyužívaný bývalý plicní pavilon), rekonstrukce objektu L (nevyužívaný pavilon bývalého infekčního oddělení), do kterého bude přestěhováno transfuzní oddělení z objektu „O“ ve Vítězné ulici v Karlových Varech a plánována je demolice administrativního pavilonu G, demolice objektu M.</w:t>
            </w:r>
          </w:p>
          <w:p w14:paraId="692F35A4" w14:textId="77777777" w:rsidR="00EF3DF0" w:rsidRPr="00B46552" w:rsidRDefault="000507F7" w:rsidP="00EF3DF0">
            <w:pPr>
              <w:jc w:val="both"/>
              <w:rPr>
                <w:rFonts w:eastAsia="Times New Roman" w:cs="Arial"/>
                <w:color w:val="000000"/>
                <w:sz w:val="18"/>
                <w:szCs w:val="18"/>
                <w:lang w:eastAsia="cs-CZ"/>
              </w:rPr>
            </w:pPr>
            <w:r w:rsidRPr="00AF30D8">
              <w:rPr>
                <w:rFonts w:eastAsia="Times New Roman" w:cs="Arial"/>
                <w:color w:val="000000"/>
                <w:sz w:val="18"/>
                <w:szCs w:val="18"/>
                <w:lang w:eastAsia="cs-CZ"/>
              </w:rPr>
              <w:t xml:space="preserve"> 2. etapa část 2; výstavba objektu G1 (rozšíření urgentního příjmu budovy A – emergency, operační sály), výstavba objektů G2, G3 (komplexní onkologické centrum, interní oddělení, kardiologie, traumatologie, gynekologie). Součástí výstavby objektů G2, G3 bude v pavilonu D vybudování zázemí pro přípravu cytostatik (protinádorových léků). V souvislosti s výstavbou dojde k vybudování spojovacího </w:t>
            </w:r>
            <w:r w:rsidRPr="00AF30D8">
              <w:rPr>
                <w:rFonts w:eastAsia="Times New Roman" w:cs="Arial"/>
                <w:color w:val="000000"/>
                <w:sz w:val="18"/>
                <w:szCs w:val="18"/>
                <w:lang w:eastAsia="cs-CZ"/>
              </w:rPr>
              <w:lastRenderedPageBreak/>
              <w:t>podzemního</w:t>
            </w:r>
            <w:r w:rsidR="00EF3DF0">
              <w:rPr>
                <w:rFonts w:eastAsia="Times New Roman" w:cs="Arial"/>
                <w:color w:val="000000"/>
                <w:sz w:val="18"/>
                <w:szCs w:val="18"/>
                <w:lang w:eastAsia="cs-CZ"/>
              </w:rPr>
              <w:t xml:space="preserve"> </w:t>
            </w:r>
            <w:r w:rsidR="00EF3DF0" w:rsidRPr="00B46552">
              <w:rPr>
                <w:rFonts w:eastAsia="Times New Roman" w:cs="Arial"/>
                <w:color w:val="000000"/>
                <w:sz w:val="18"/>
                <w:szCs w:val="18"/>
                <w:lang w:eastAsia="cs-CZ"/>
              </w:rPr>
              <w:t>koridoru mezi objekty D-G2-L a G1-G2, napojení na technickou a dopravní infrastrukturu a k vybudování parkovacích ploch.                                                                                                                                                                                                                                                                                                                                                                                                                                                                                                                                                 2. etapa</w:t>
            </w:r>
          </w:p>
          <w:p w14:paraId="5329BE14" w14:textId="77777777" w:rsidR="00EF3DF0" w:rsidRPr="00B46552" w:rsidRDefault="00EF3DF0" w:rsidP="00EF3DF0">
            <w:pPr>
              <w:jc w:val="both"/>
              <w:rPr>
                <w:rFonts w:eastAsia="Times New Roman" w:cs="Arial"/>
                <w:color w:val="000000"/>
                <w:sz w:val="18"/>
                <w:szCs w:val="18"/>
                <w:lang w:eastAsia="cs-CZ"/>
              </w:rPr>
            </w:pPr>
            <w:r w:rsidRPr="00B46552">
              <w:rPr>
                <w:rFonts w:eastAsia="Times New Roman" w:cs="Arial"/>
                <w:color w:val="000000"/>
                <w:sz w:val="18"/>
                <w:szCs w:val="18"/>
                <w:lang w:eastAsia="cs-CZ"/>
              </w:rPr>
              <w:t>- výstavba parkovacího domu</w:t>
            </w:r>
          </w:p>
          <w:p w14:paraId="54EDC4E9" w14:textId="4A3FA182" w:rsidR="000507F7" w:rsidRPr="000507F7" w:rsidRDefault="00EF3DF0" w:rsidP="00EF3DF0">
            <w:pPr>
              <w:jc w:val="both"/>
              <w:rPr>
                <w:rFonts w:eastAsia="Times New Roman" w:cs="Arial"/>
                <w:color w:val="000000"/>
                <w:sz w:val="18"/>
                <w:szCs w:val="18"/>
                <w:lang w:eastAsia="cs-CZ"/>
              </w:rPr>
            </w:pPr>
            <w:r w:rsidRPr="00B46552">
              <w:rPr>
                <w:rFonts w:eastAsia="Times New Roman" w:cs="Arial"/>
                <w:color w:val="000000"/>
                <w:sz w:val="18"/>
                <w:szCs w:val="18"/>
                <w:lang w:eastAsia="cs-CZ"/>
              </w:rPr>
              <w:t xml:space="preserve">- demolice objektu F, objektu E, objektu N </w:t>
            </w:r>
            <w:r>
              <w:rPr>
                <w:rFonts w:eastAsia="Times New Roman" w:cs="Arial"/>
                <w:color w:val="000000"/>
                <w:sz w:val="18"/>
                <w:szCs w:val="18"/>
                <w:lang w:eastAsia="cs-CZ"/>
              </w:rPr>
              <w:t>.</w:t>
            </w:r>
          </w:p>
        </w:tc>
        <w:tc>
          <w:tcPr>
            <w:tcW w:w="1001" w:type="dxa"/>
            <w:shd w:val="clear" w:color="auto" w:fill="auto"/>
          </w:tcPr>
          <w:p w14:paraId="40A7F424" w14:textId="5F339474" w:rsidR="000507F7" w:rsidRPr="00B46552" w:rsidRDefault="000507F7" w:rsidP="000507F7">
            <w:pPr>
              <w:rPr>
                <w:rFonts w:eastAsia="Times New Roman" w:cs="Arial"/>
                <w:color w:val="000000"/>
                <w:sz w:val="18"/>
                <w:szCs w:val="18"/>
                <w:lang w:eastAsia="cs-CZ"/>
              </w:rPr>
            </w:pPr>
            <w:r w:rsidRPr="00AF30D8">
              <w:rPr>
                <w:rFonts w:eastAsia="Times New Roman" w:cs="Arial"/>
                <w:color w:val="000000"/>
                <w:sz w:val="18"/>
                <w:szCs w:val="18"/>
                <w:lang w:eastAsia="cs-CZ"/>
              </w:rPr>
              <w:lastRenderedPageBreak/>
              <w:t>Celkem 3 m</w:t>
            </w:r>
            <w:r>
              <w:rPr>
                <w:rFonts w:eastAsia="Times New Roman" w:cs="Arial"/>
                <w:color w:val="000000"/>
                <w:sz w:val="18"/>
                <w:szCs w:val="18"/>
                <w:lang w:eastAsia="cs-CZ"/>
              </w:rPr>
              <w:t>ld.</w:t>
            </w:r>
            <w:r w:rsidRPr="00AF30D8">
              <w:rPr>
                <w:rFonts w:eastAsia="Times New Roman" w:cs="Arial"/>
                <w:color w:val="000000"/>
                <w:sz w:val="18"/>
                <w:szCs w:val="18"/>
                <w:lang w:eastAsia="cs-CZ"/>
              </w:rPr>
              <w:t>, jak na výstavbu, tak na přístro</w:t>
            </w:r>
            <w:r>
              <w:rPr>
                <w:rFonts w:eastAsia="Times New Roman" w:cs="Arial"/>
                <w:color w:val="000000"/>
                <w:sz w:val="18"/>
                <w:szCs w:val="18"/>
                <w:lang w:eastAsia="cs-CZ"/>
              </w:rPr>
              <w:t>j.</w:t>
            </w:r>
            <w:r w:rsidRPr="00AF30D8">
              <w:rPr>
                <w:rFonts w:eastAsia="Times New Roman" w:cs="Arial"/>
                <w:color w:val="000000"/>
                <w:sz w:val="18"/>
                <w:szCs w:val="18"/>
                <w:lang w:eastAsia="cs-CZ"/>
              </w:rPr>
              <w:t xml:space="preserve"> vybavení</w:t>
            </w:r>
          </w:p>
        </w:tc>
        <w:tc>
          <w:tcPr>
            <w:tcW w:w="1692" w:type="dxa"/>
            <w:gridSpan w:val="2"/>
            <w:shd w:val="clear" w:color="auto" w:fill="auto"/>
          </w:tcPr>
          <w:p w14:paraId="064DD1B0" w14:textId="58D313AF" w:rsidR="000507F7" w:rsidRDefault="000507F7" w:rsidP="000507F7">
            <w:pPr>
              <w:jc w:val="both"/>
              <w:rPr>
                <w:rFonts w:cs="Arial"/>
                <w:sz w:val="18"/>
                <w:szCs w:val="18"/>
                <w:lang w:eastAsia="cs-CZ"/>
              </w:rPr>
            </w:pPr>
            <w:r w:rsidRPr="00AF30D8">
              <w:rPr>
                <w:rFonts w:cs="Arial"/>
                <w:sz w:val="18"/>
                <w:szCs w:val="18"/>
                <w:lang w:eastAsia="cs-CZ"/>
              </w:rPr>
              <w:t>IROP 2021-2027, Národní plán obnovy</w:t>
            </w:r>
          </w:p>
        </w:tc>
        <w:tc>
          <w:tcPr>
            <w:tcW w:w="2748" w:type="dxa"/>
            <w:gridSpan w:val="2"/>
            <w:shd w:val="clear" w:color="auto" w:fill="auto"/>
          </w:tcPr>
          <w:p w14:paraId="727200C9" w14:textId="77777777" w:rsidR="000507F7" w:rsidRDefault="000507F7" w:rsidP="000507F7">
            <w:pPr>
              <w:jc w:val="both"/>
              <w:rPr>
                <w:rFonts w:eastAsia="Times New Roman" w:cs="Arial"/>
                <w:color w:val="000000"/>
                <w:sz w:val="18"/>
                <w:szCs w:val="18"/>
                <w:lang w:eastAsia="cs-CZ"/>
              </w:rPr>
            </w:pPr>
          </w:p>
        </w:tc>
        <w:tc>
          <w:tcPr>
            <w:tcW w:w="2163" w:type="dxa"/>
            <w:shd w:val="clear" w:color="auto" w:fill="auto"/>
          </w:tcPr>
          <w:p w14:paraId="1A951389" w14:textId="34A70FD8" w:rsidR="000507F7" w:rsidRDefault="000507F7" w:rsidP="000507F7">
            <w:pPr>
              <w:jc w:val="both"/>
              <w:rPr>
                <w:rFonts w:eastAsia="Times New Roman" w:cs="Arial"/>
                <w:color w:val="000000"/>
                <w:sz w:val="18"/>
                <w:szCs w:val="18"/>
                <w:lang w:eastAsia="cs-CZ"/>
              </w:rPr>
            </w:pPr>
            <w:r w:rsidRPr="00B46552">
              <w:rPr>
                <w:rFonts w:eastAsia="Times New Roman" w:cs="Arial"/>
                <w:color w:val="000000"/>
                <w:sz w:val="18"/>
                <w:szCs w:val="18"/>
                <w:lang w:eastAsia="cs-CZ"/>
              </w:rPr>
              <w:t>Zkvalitnění zdravotnictví v KVK</w:t>
            </w:r>
          </w:p>
        </w:tc>
        <w:tc>
          <w:tcPr>
            <w:tcW w:w="2406" w:type="dxa"/>
            <w:shd w:val="clear" w:color="auto" w:fill="auto"/>
          </w:tcPr>
          <w:p w14:paraId="641B33A0" w14:textId="0817A132" w:rsidR="000507F7" w:rsidRPr="00B46552" w:rsidRDefault="000507F7" w:rsidP="000507F7">
            <w:pPr>
              <w:jc w:val="both"/>
              <w:rPr>
                <w:rFonts w:eastAsia="Times New Roman" w:cs="Arial"/>
                <w:color w:val="000000"/>
                <w:sz w:val="18"/>
                <w:szCs w:val="18"/>
                <w:lang w:eastAsia="cs-CZ"/>
              </w:rPr>
            </w:pPr>
            <w:r w:rsidRPr="00B46552">
              <w:rPr>
                <w:rFonts w:eastAsia="Times New Roman" w:cs="Arial"/>
                <w:color w:val="000000"/>
                <w:sz w:val="18"/>
                <w:szCs w:val="18"/>
                <w:lang w:eastAsia="cs-CZ"/>
              </w:rPr>
              <w:t>Obyvatelé a návštěvníci KVK</w:t>
            </w:r>
          </w:p>
        </w:tc>
        <w:tc>
          <w:tcPr>
            <w:tcW w:w="1482" w:type="dxa"/>
            <w:shd w:val="clear" w:color="auto" w:fill="auto"/>
            <w:vAlign w:val="center"/>
          </w:tcPr>
          <w:p w14:paraId="02987E8F" w14:textId="0D8FB8D5" w:rsidR="000507F7" w:rsidRDefault="000507F7" w:rsidP="000507F7">
            <w:pPr>
              <w:jc w:val="center"/>
              <w:rPr>
                <w:rFonts w:eastAsia="Times New Roman" w:cs="Arial"/>
                <w:color w:val="000000"/>
                <w:sz w:val="18"/>
                <w:szCs w:val="18"/>
                <w:lang w:eastAsia="cs-CZ"/>
              </w:rPr>
            </w:pPr>
            <w:r>
              <w:rPr>
                <w:rFonts w:eastAsia="Times New Roman" w:cs="Arial"/>
                <w:color w:val="000000"/>
                <w:sz w:val="18"/>
                <w:szCs w:val="18"/>
                <w:lang w:eastAsia="cs-CZ"/>
              </w:rPr>
              <w:t>X</w:t>
            </w:r>
          </w:p>
        </w:tc>
      </w:tr>
      <w:tr w:rsidR="000507F7" w14:paraId="7CC9AF70" w14:textId="77777777" w:rsidTr="00BB5390">
        <w:trPr>
          <w:jc w:val="center"/>
        </w:trPr>
        <w:tc>
          <w:tcPr>
            <w:tcW w:w="14039" w:type="dxa"/>
            <w:gridSpan w:val="9"/>
            <w:shd w:val="clear" w:color="auto" w:fill="FFF2CC" w:themeFill="accent4" w:themeFillTint="33"/>
          </w:tcPr>
          <w:p w14:paraId="183322C5" w14:textId="17249143" w:rsidR="000507F7" w:rsidRPr="00BB5390" w:rsidRDefault="000507F7" w:rsidP="002E4092">
            <w:pPr>
              <w:pStyle w:val="Odstavecseseznamem"/>
              <w:numPr>
                <w:ilvl w:val="0"/>
                <w:numId w:val="12"/>
              </w:numPr>
              <w:jc w:val="center"/>
              <w:rPr>
                <w:rFonts w:eastAsia="Times New Roman" w:cs="Arial"/>
                <w:color w:val="000000"/>
                <w:sz w:val="18"/>
                <w:szCs w:val="18"/>
                <w:lang w:eastAsia="cs-CZ"/>
              </w:rPr>
            </w:pPr>
            <w:r w:rsidRPr="00BB5390">
              <w:rPr>
                <w:rFonts w:eastAsia="Times New Roman" w:cs="Arial"/>
                <w:b/>
                <w:bCs/>
                <w:color w:val="000000"/>
                <w:sz w:val="18"/>
                <w:szCs w:val="18"/>
                <w:lang w:eastAsia="cs-CZ"/>
              </w:rPr>
              <w:t>Infrastruktura pro cestovní ruch</w:t>
            </w:r>
          </w:p>
        </w:tc>
      </w:tr>
      <w:tr w:rsidR="000507F7" w14:paraId="420EC79A" w14:textId="77777777" w:rsidTr="000507F7">
        <w:trPr>
          <w:jc w:val="center"/>
        </w:trPr>
        <w:tc>
          <w:tcPr>
            <w:tcW w:w="2547" w:type="dxa"/>
            <w:shd w:val="clear" w:color="auto" w:fill="auto"/>
          </w:tcPr>
          <w:p w14:paraId="1DC7E318" w14:textId="77777777" w:rsidR="000507F7" w:rsidRPr="00AF30D8" w:rsidRDefault="000507F7" w:rsidP="000507F7">
            <w:pPr>
              <w:jc w:val="both"/>
              <w:rPr>
                <w:rFonts w:eastAsia="Times New Roman" w:cs="Arial"/>
                <w:color w:val="000000"/>
                <w:sz w:val="18"/>
                <w:szCs w:val="18"/>
                <w:lang w:eastAsia="cs-CZ"/>
              </w:rPr>
            </w:pPr>
            <w:r w:rsidRPr="00AF30D8">
              <w:rPr>
                <w:rFonts w:eastAsia="Times New Roman" w:cs="Arial"/>
                <w:b/>
                <w:bCs/>
                <w:color w:val="000000"/>
                <w:sz w:val="18"/>
                <w:szCs w:val="18"/>
                <w:lang w:eastAsia="cs-CZ"/>
              </w:rPr>
              <w:t xml:space="preserve">Krušnohorská Hřebenovka – Cílem projektu je zlepšení </w:t>
            </w:r>
            <w:r w:rsidRPr="00AF30D8">
              <w:rPr>
                <w:rFonts w:eastAsia="Times New Roman" w:cs="Arial"/>
                <w:color w:val="000000"/>
                <w:sz w:val="18"/>
                <w:szCs w:val="18"/>
                <w:lang w:eastAsia="cs-CZ"/>
              </w:rPr>
              <w:t>dostupnosti Krušných hor a vybudování potřebné infrastruktury pro rozvoj cestovního ruchu. Sestává z několika dílčích cílů:</w:t>
            </w:r>
          </w:p>
          <w:p w14:paraId="185FD82D" w14:textId="77777777" w:rsidR="000507F7" w:rsidRPr="00AF30D8" w:rsidRDefault="000507F7" w:rsidP="000507F7">
            <w:pPr>
              <w:jc w:val="both"/>
              <w:rPr>
                <w:rFonts w:eastAsia="Times New Roman" w:cs="Arial"/>
                <w:color w:val="000000"/>
                <w:sz w:val="18"/>
                <w:szCs w:val="18"/>
                <w:lang w:eastAsia="cs-CZ"/>
              </w:rPr>
            </w:pPr>
            <w:r w:rsidRPr="00AF30D8">
              <w:rPr>
                <w:rFonts w:eastAsia="Times New Roman" w:cs="Arial"/>
                <w:color w:val="000000"/>
                <w:sz w:val="18"/>
                <w:szCs w:val="18"/>
                <w:lang w:eastAsia="cs-CZ"/>
              </w:rPr>
              <w:t>a) Projekt Pěší hřebenovka – Propojení hřebenových partií českých hor a společné vytvoření nejdelší hřebenové trasy v Čechách, eventuální propojení s</w:t>
            </w:r>
            <w:r>
              <w:rPr>
                <w:rFonts w:eastAsia="Times New Roman" w:cs="Arial"/>
                <w:color w:val="000000"/>
                <w:sz w:val="18"/>
                <w:szCs w:val="18"/>
                <w:lang w:eastAsia="cs-CZ"/>
              </w:rPr>
              <w:t> </w:t>
            </w:r>
            <w:r w:rsidRPr="00AF30D8">
              <w:rPr>
                <w:rFonts w:eastAsia="Times New Roman" w:cs="Arial"/>
                <w:color w:val="000000"/>
                <w:sz w:val="18"/>
                <w:szCs w:val="18"/>
                <w:lang w:eastAsia="cs-CZ"/>
              </w:rPr>
              <w:t>německou</w:t>
            </w:r>
            <w:r>
              <w:rPr>
                <w:rFonts w:eastAsia="Times New Roman" w:cs="Arial"/>
                <w:color w:val="000000"/>
                <w:sz w:val="18"/>
                <w:szCs w:val="18"/>
                <w:lang w:eastAsia="cs-CZ"/>
              </w:rPr>
              <w:t xml:space="preserve"> </w:t>
            </w:r>
            <w:r w:rsidRPr="00AF30D8">
              <w:rPr>
                <w:rFonts w:eastAsia="Times New Roman" w:cs="Arial"/>
                <w:color w:val="000000"/>
                <w:sz w:val="18"/>
                <w:szCs w:val="18"/>
                <w:lang w:eastAsia="cs-CZ"/>
              </w:rPr>
              <w:t>hřebenovou trasou</w:t>
            </w:r>
            <w:r>
              <w:rPr>
                <w:rFonts w:eastAsia="Times New Roman" w:cs="Arial"/>
                <w:color w:val="000000"/>
                <w:sz w:val="18"/>
                <w:szCs w:val="18"/>
                <w:lang w:eastAsia="cs-CZ"/>
              </w:rPr>
              <w:t xml:space="preserve"> </w:t>
            </w:r>
            <w:r w:rsidRPr="00AF30D8">
              <w:rPr>
                <w:rFonts w:eastAsia="Times New Roman" w:cs="Arial"/>
                <w:color w:val="000000"/>
                <w:sz w:val="18"/>
                <w:szCs w:val="18"/>
                <w:lang w:eastAsia="cs-CZ"/>
              </w:rPr>
              <w:t>Kammweg a možnost získání evropské certifikace, vybudování tras, vybavovacího a informačního systému, odpočinkových tras, zajištění marketinku atd.</w:t>
            </w:r>
          </w:p>
          <w:p w14:paraId="0AACC952" w14:textId="2FF502A0" w:rsidR="000507F7" w:rsidRPr="004F0D75" w:rsidRDefault="000507F7" w:rsidP="000507F7">
            <w:pPr>
              <w:jc w:val="both"/>
              <w:rPr>
                <w:rFonts w:eastAsia="Times New Roman" w:cs="Arial"/>
                <w:b/>
                <w:bCs/>
                <w:color w:val="000000"/>
                <w:sz w:val="18"/>
                <w:szCs w:val="18"/>
                <w:lang w:eastAsia="cs-CZ"/>
              </w:rPr>
            </w:pPr>
            <w:r w:rsidRPr="00AF30D8">
              <w:rPr>
                <w:rFonts w:eastAsia="Times New Roman" w:cs="Arial"/>
                <w:color w:val="000000"/>
                <w:sz w:val="18"/>
                <w:szCs w:val="18"/>
                <w:lang w:eastAsia="cs-CZ"/>
              </w:rPr>
              <w:t xml:space="preserve">b) Územní studie Krušné hory – západ (dostupnost rekreace) </w:t>
            </w:r>
            <w:r>
              <w:rPr>
                <w:rFonts w:eastAsia="Times New Roman" w:cs="Arial"/>
                <w:color w:val="000000"/>
                <w:sz w:val="18"/>
                <w:szCs w:val="18"/>
                <w:lang w:eastAsia="cs-CZ"/>
              </w:rPr>
              <w:t>–</w:t>
            </w:r>
            <w:r w:rsidRPr="00AF30D8">
              <w:rPr>
                <w:rFonts w:eastAsia="Times New Roman" w:cs="Arial"/>
                <w:color w:val="000000"/>
                <w:sz w:val="18"/>
                <w:szCs w:val="18"/>
                <w:lang w:eastAsia="cs-CZ"/>
              </w:rPr>
              <w:t xml:space="preserve"> Analýza </w:t>
            </w:r>
            <w:r w:rsidRPr="00AF30D8">
              <w:rPr>
                <w:rFonts w:eastAsia="Times New Roman" w:cs="Arial"/>
                <w:color w:val="000000"/>
                <w:sz w:val="18"/>
                <w:szCs w:val="18"/>
                <w:lang w:eastAsia="cs-CZ"/>
              </w:rPr>
              <w:lastRenderedPageBreak/>
              <w:t>stávajících územně plánovacích podkladů v daném území, identifikace hlavních problémů a návrh opatření pro zlepšení situace zejména ve vztahu dopravní infrastruktury a cestovního ruchu. Po dokončení územní studie mohou z jejích závěrů vyplynout konkrétnější opatření vedoucí k přípravě konkrétních projektových záměrů.</w:t>
            </w:r>
          </w:p>
        </w:tc>
        <w:tc>
          <w:tcPr>
            <w:tcW w:w="1001" w:type="dxa"/>
            <w:shd w:val="clear" w:color="auto" w:fill="auto"/>
          </w:tcPr>
          <w:p w14:paraId="21B4057D" w14:textId="6825A224" w:rsidR="000507F7" w:rsidRPr="00AF30D8" w:rsidRDefault="000507F7" w:rsidP="000507F7">
            <w:pPr>
              <w:rPr>
                <w:rFonts w:eastAsia="Times New Roman" w:cs="Arial"/>
                <w:color w:val="000000"/>
                <w:sz w:val="18"/>
                <w:szCs w:val="18"/>
                <w:lang w:eastAsia="cs-CZ"/>
              </w:rPr>
            </w:pPr>
            <w:r w:rsidRPr="00B46552">
              <w:rPr>
                <w:rFonts w:eastAsia="Times New Roman" w:cs="Arial"/>
                <w:color w:val="000000"/>
                <w:sz w:val="18"/>
                <w:szCs w:val="18"/>
                <w:lang w:eastAsia="cs-CZ"/>
              </w:rPr>
              <w:lastRenderedPageBreak/>
              <w:t>150 mil.</w:t>
            </w:r>
            <w:r>
              <w:rPr>
                <w:rStyle w:val="Znakapoznpodarou"/>
                <w:rFonts w:eastAsia="Times New Roman" w:cs="Arial"/>
                <w:color w:val="000000"/>
                <w:sz w:val="18"/>
                <w:szCs w:val="18"/>
                <w:lang w:eastAsia="cs-CZ"/>
              </w:rPr>
              <w:footnoteReference w:id="7"/>
            </w:r>
            <w:r w:rsidRPr="00B46552">
              <w:rPr>
                <w:rFonts w:eastAsia="Times New Roman" w:cs="Arial"/>
                <w:color w:val="000000"/>
                <w:sz w:val="18"/>
                <w:szCs w:val="18"/>
                <w:lang w:eastAsia="cs-CZ"/>
              </w:rPr>
              <w:t xml:space="preserve"> Kč včetně DPH</w:t>
            </w:r>
          </w:p>
        </w:tc>
        <w:tc>
          <w:tcPr>
            <w:tcW w:w="1692" w:type="dxa"/>
            <w:gridSpan w:val="2"/>
            <w:shd w:val="clear" w:color="auto" w:fill="auto"/>
          </w:tcPr>
          <w:p w14:paraId="124356D1" w14:textId="15D0F704" w:rsidR="000507F7" w:rsidRPr="00AF30D8" w:rsidRDefault="000507F7" w:rsidP="000507F7">
            <w:pPr>
              <w:jc w:val="both"/>
              <w:rPr>
                <w:rFonts w:cs="Arial"/>
                <w:sz w:val="18"/>
                <w:szCs w:val="18"/>
                <w:lang w:eastAsia="cs-CZ"/>
              </w:rPr>
            </w:pPr>
            <w:r>
              <w:rPr>
                <w:rFonts w:cs="Arial"/>
                <w:sz w:val="18"/>
                <w:szCs w:val="18"/>
                <w:lang w:eastAsia="cs-CZ"/>
              </w:rPr>
              <w:t>Není definováno</w:t>
            </w:r>
          </w:p>
        </w:tc>
        <w:tc>
          <w:tcPr>
            <w:tcW w:w="2748" w:type="dxa"/>
            <w:gridSpan w:val="2"/>
            <w:shd w:val="clear" w:color="auto" w:fill="auto"/>
          </w:tcPr>
          <w:p w14:paraId="3C665190" w14:textId="77777777" w:rsidR="000507F7" w:rsidRDefault="000507F7" w:rsidP="000507F7">
            <w:pPr>
              <w:jc w:val="both"/>
              <w:rPr>
                <w:rFonts w:eastAsia="Times New Roman" w:cs="Arial"/>
                <w:color w:val="000000"/>
                <w:sz w:val="18"/>
                <w:szCs w:val="18"/>
                <w:lang w:eastAsia="cs-CZ"/>
              </w:rPr>
            </w:pPr>
          </w:p>
        </w:tc>
        <w:tc>
          <w:tcPr>
            <w:tcW w:w="2163" w:type="dxa"/>
            <w:shd w:val="clear" w:color="auto" w:fill="auto"/>
          </w:tcPr>
          <w:p w14:paraId="3C53DFA6" w14:textId="77777777" w:rsidR="000507F7" w:rsidRPr="00B46552" w:rsidRDefault="000507F7" w:rsidP="000507F7">
            <w:pPr>
              <w:jc w:val="both"/>
              <w:rPr>
                <w:rFonts w:eastAsia="Times New Roman" w:cs="Arial"/>
                <w:color w:val="000000"/>
                <w:sz w:val="18"/>
                <w:szCs w:val="18"/>
                <w:lang w:eastAsia="cs-CZ"/>
              </w:rPr>
            </w:pPr>
          </w:p>
        </w:tc>
        <w:tc>
          <w:tcPr>
            <w:tcW w:w="2406" w:type="dxa"/>
            <w:shd w:val="clear" w:color="auto" w:fill="auto"/>
          </w:tcPr>
          <w:p w14:paraId="78B7B114" w14:textId="0CA10ADB" w:rsidR="000507F7" w:rsidRPr="00B46552" w:rsidRDefault="000507F7" w:rsidP="000507F7">
            <w:pPr>
              <w:jc w:val="both"/>
              <w:rPr>
                <w:rFonts w:eastAsia="Times New Roman" w:cs="Arial"/>
                <w:color w:val="000000"/>
                <w:sz w:val="18"/>
                <w:szCs w:val="18"/>
                <w:lang w:eastAsia="cs-CZ"/>
              </w:rPr>
            </w:pPr>
            <w:r w:rsidRPr="00B46552">
              <w:rPr>
                <w:rFonts w:eastAsia="Times New Roman" w:cs="Arial"/>
                <w:color w:val="000000"/>
                <w:sz w:val="18"/>
                <w:szCs w:val="18"/>
                <w:lang w:eastAsia="cs-CZ"/>
              </w:rPr>
              <w:t>Obyvatelé a návštěvníci Karlovarského kraje</w:t>
            </w:r>
          </w:p>
        </w:tc>
        <w:tc>
          <w:tcPr>
            <w:tcW w:w="1482" w:type="dxa"/>
            <w:shd w:val="clear" w:color="auto" w:fill="auto"/>
            <w:vAlign w:val="center"/>
          </w:tcPr>
          <w:p w14:paraId="3A113AEF" w14:textId="192A2217" w:rsidR="000507F7" w:rsidRDefault="000507F7" w:rsidP="000507F7">
            <w:pPr>
              <w:jc w:val="center"/>
              <w:rPr>
                <w:rFonts w:eastAsia="Times New Roman" w:cs="Arial"/>
                <w:color w:val="000000"/>
                <w:sz w:val="18"/>
                <w:szCs w:val="18"/>
                <w:lang w:eastAsia="cs-CZ"/>
              </w:rPr>
            </w:pPr>
            <w:r>
              <w:rPr>
                <w:rFonts w:eastAsia="Times New Roman" w:cs="Arial"/>
                <w:color w:val="000000"/>
                <w:sz w:val="18"/>
                <w:szCs w:val="18"/>
                <w:lang w:eastAsia="cs-CZ"/>
              </w:rPr>
              <w:t>X</w:t>
            </w:r>
          </w:p>
        </w:tc>
      </w:tr>
    </w:tbl>
    <w:p w14:paraId="427E5EBC" w14:textId="1578EC9C" w:rsidR="00B65C98" w:rsidRDefault="00B65C98" w:rsidP="00CB4A00"/>
    <w:p w14:paraId="5B19D863" w14:textId="098F4541" w:rsidR="000264FB" w:rsidRDefault="000264FB" w:rsidP="00CB4A00"/>
    <w:p w14:paraId="586088AE" w14:textId="0A6872A6" w:rsidR="000264FB" w:rsidRDefault="000264FB" w:rsidP="00CB4A00"/>
    <w:p w14:paraId="6403124F" w14:textId="64E24FE4" w:rsidR="000264FB" w:rsidRDefault="000264FB" w:rsidP="00CB4A00"/>
    <w:p w14:paraId="591FCCF2" w14:textId="34064811" w:rsidR="000264FB" w:rsidRDefault="000264FB" w:rsidP="00CB4A00"/>
    <w:p w14:paraId="70077A15" w14:textId="69E36386" w:rsidR="000264FB" w:rsidRDefault="000264FB" w:rsidP="00CB4A00"/>
    <w:p w14:paraId="536DFB19" w14:textId="3D46CBBE" w:rsidR="000264FB" w:rsidRDefault="000264FB" w:rsidP="00CB4A00"/>
    <w:p w14:paraId="600313CF" w14:textId="711BD998" w:rsidR="000264FB" w:rsidRDefault="000264FB" w:rsidP="00CB4A00"/>
    <w:p w14:paraId="54777D8D" w14:textId="07186244" w:rsidR="000264FB" w:rsidRDefault="000264FB" w:rsidP="00CB4A00"/>
    <w:p w14:paraId="4D7E8E96" w14:textId="0B310010" w:rsidR="000264FB" w:rsidRDefault="000264FB" w:rsidP="00CB4A00"/>
    <w:p w14:paraId="71DC2B0B" w14:textId="266C3EE8" w:rsidR="000264FB" w:rsidRDefault="000264FB" w:rsidP="00CB4A00"/>
    <w:p w14:paraId="21B61224" w14:textId="60E2A9F8" w:rsidR="000264FB" w:rsidRDefault="000264FB" w:rsidP="00CB4A00"/>
    <w:p w14:paraId="729F8674" w14:textId="6CF5F78A" w:rsidR="000264FB" w:rsidRDefault="000264FB" w:rsidP="00CB4A00"/>
    <w:sectPr w:rsidR="000264FB" w:rsidSect="00137B64">
      <w:pgSz w:w="16838" w:h="11906" w:orient="landscape"/>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Weissová Kristýna" w:date="2024-08-22T13:45:00Z" w:initials="WK">
    <w:p w14:paraId="30A1FC5E" w14:textId="77777777" w:rsidR="000264FB" w:rsidRDefault="000264FB" w:rsidP="000264FB">
      <w:pPr>
        <w:pStyle w:val="Textkomente"/>
      </w:pPr>
      <w:r>
        <w:rPr>
          <w:rStyle w:val="Odkaznakoment"/>
        </w:rPr>
        <w:annotationRef/>
      </w:r>
      <w:r>
        <w:t>Do prázdného pole s největší pravděpodobností přibude, po jednání vládního výboru pro regionální politiku (pracovní úroveň) dne 6.9., Transformační komise vedená MMR.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A1FC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71BF96" w16cex:dateUtc="2024-08-22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A1FC5E" w16cid:durableId="2A71BF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C4B77" w14:textId="77777777" w:rsidR="003F5C49" w:rsidRDefault="003F5C49" w:rsidP="00452578">
      <w:pPr>
        <w:spacing w:after="0" w:line="240" w:lineRule="auto"/>
      </w:pPr>
      <w:r>
        <w:separator/>
      </w:r>
    </w:p>
  </w:endnote>
  <w:endnote w:type="continuationSeparator" w:id="0">
    <w:p w14:paraId="6CDBD811" w14:textId="77777777" w:rsidR="003F5C49" w:rsidRDefault="003F5C49" w:rsidP="00452578">
      <w:pPr>
        <w:spacing w:after="0" w:line="240" w:lineRule="auto"/>
      </w:pPr>
      <w:r>
        <w:continuationSeparator/>
      </w:r>
    </w:p>
  </w:endnote>
  <w:endnote w:type="continuationNotice" w:id="1">
    <w:p w14:paraId="2B81674D" w14:textId="77777777" w:rsidR="003F5C49" w:rsidRDefault="003F5C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9E1D" w14:textId="77777777" w:rsidR="00B85DCB" w:rsidRDefault="00B85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9762" w14:textId="1BFC1279" w:rsidR="003F5C49" w:rsidRDefault="008970A9" w:rsidP="00452578">
    <w:pPr>
      <w:pStyle w:val="Zpat"/>
      <w:jc w:val="center"/>
      <w:rPr>
        <w:b/>
        <w:color w:val="002060"/>
      </w:rPr>
    </w:pPr>
    <w:r>
      <w:rPr>
        <w:noProof/>
      </w:rPr>
      <w:drawing>
        <wp:anchor distT="0" distB="0" distL="114300" distR="114300" simplePos="0" relativeHeight="251661312" behindDoc="1" locked="0" layoutInCell="1" allowOverlap="1" wp14:anchorId="0B3A5829" wp14:editId="2DC742DA">
          <wp:simplePos x="0" y="0"/>
          <wp:positionH relativeFrom="column">
            <wp:posOffset>2866390</wp:posOffset>
          </wp:positionH>
          <wp:positionV relativeFrom="paragraph">
            <wp:posOffset>138430</wp:posOffset>
          </wp:positionV>
          <wp:extent cx="1911350" cy="452120"/>
          <wp:effectExtent l="0" t="0" r="0" b="5080"/>
          <wp:wrapNone/>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1350" cy="4521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A2C7C9C" wp14:editId="6A308BBC">
          <wp:simplePos x="0" y="0"/>
          <wp:positionH relativeFrom="column">
            <wp:posOffset>598805</wp:posOffset>
          </wp:positionH>
          <wp:positionV relativeFrom="paragraph">
            <wp:posOffset>95250</wp:posOffset>
          </wp:positionV>
          <wp:extent cx="2044700" cy="522605"/>
          <wp:effectExtent l="0" t="0" r="0" b="0"/>
          <wp:wrapNone/>
          <wp:docPr id="1755077377" name="Obrázek 1755077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4700" cy="5226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A6F38B" w14:textId="313D6944" w:rsidR="003F5C49" w:rsidRDefault="00AC017F" w:rsidP="008970A9">
    <w:pPr>
      <w:pStyle w:val="Zpat"/>
      <w:jc w:val="right"/>
    </w:pPr>
    <w:sdt>
      <w:sdtPr>
        <w:id w:val="-1131168681"/>
        <w:docPartObj>
          <w:docPartGallery w:val="Page Numbers (Top of Page)"/>
          <w:docPartUnique/>
        </w:docPartObj>
      </w:sdtPr>
      <w:sdtEndPr/>
      <w:sdtContent>
        <w:r w:rsidR="003F5C49">
          <w:rPr>
            <w:b/>
            <w:bCs/>
            <w:sz w:val="24"/>
            <w:szCs w:val="24"/>
          </w:rPr>
          <w:fldChar w:fldCharType="begin"/>
        </w:r>
        <w:r w:rsidR="003F5C49">
          <w:rPr>
            <w:b/>
            <w:bCs/>
          </w:rPr>
          <w:instrText>PAGE</w:instrText>
        </w:r>
        <w:r w:rsidR="003F5C49">
          <w:rPr>
            <w:b/>
            <w:bCs/>
            <w:sz w:val="24"/>
            <w:szCs w:val="24"/>
          </w:rPr>
          <w:fldChar w:fldCharType="separate"/>
        </w:r>
        <w:r w:rsidR="005C5F7C">
          <w:rPr>
            <w:b/>
            <w:bCs/>
            <w:noProof/>
          </w:rPr>
          <w:t>4</w:t>
        </w:r>
        <w:r w:rsidR="003F5C49">
          <w:rPr>
            <w:b/>
            <w:bCs/>
            <w:sz w:val="24"/>
            <w:szCs w:val="24"/>
          </w:rPr>
          <w:fldChar w:fldCharType="end"/>
        </w:r>
        <w:r w:rsidR="003F5C49">
          <w:t xml:space="preserve"> / </w:t>
        </w:r>
        <w:r w:rsidR="003F5C49">
          <w:rPr>
            <w:b/>
            <w:bCs/>
            <w:sz w:val="24"/>
            <w:szCs w:val="24"/>
          </w:rPr>
          <w:fldChar w:fldCharType="begin"/>
        </w:r>
        <w:r w:rsidR="003F5C49">
          <w:rPr>
            <w:b/>
            <w:bCs/>
          </w:rPr>
          <w:instrText>NUMPAGES</w:instrText>
        </w:r>
        <w:r w:rsidR="003F5C49">
          <w:rPr>
            <w:b/>
            <w:bCs/>
            <w:sz w:val="24"/>
            <w:szCs w:val="24"/>
          </w:rPr>
          <w:fldChar w:fldCharType="separate"/>
        </w:r>
        <w:r w:rsidR="005C5F7C">
          <w:rPr>
            <w:b/>
            <w:bCs/>
            <w:noProof/>
          </w:rPr>
          <w:t>94</w:t>
        </w:r>
        <w:r w:rsidR="003F5C49">
          <w:rPr>
            <w:b/>
            <w:bCs/>
            <w:sz w:val="24"/>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CellMar>
        <w:left w:w="0" w:type="dxa"/>
        <w:right w:w="0" w:type="dxa"/>
      </w:tblCellMar>
      <w:tblLook w:val="04A0" w:firstRow="1" w:lastRow="0" w:firstColumn="1" w:lastColumn="0" w:noHBand="0" w:noVBand="1"/>
    </w:tblPr>
    <w:tblGrid>
      <w:gridCol w:w="4271"/>
      <w:gridCol w:w="146"/>
      <w:gridCol w:w="950"/>
      <w:gridCol w:w="2640"/>
      <w:gridCol w:w="1675"/>
    </w:tblGrid>
    <w:tr w:rsidR="003F5C49" w:rsidRPr="009472D4" w14:paraId="031639A9" w14:textId="77777777" w:rsidTr="00096AD3">
      <w:trPr>
        <w:gridAfter w:val="1"/>
        <w:wAfter w:w="1675" w:type="dxa"/>
        <w:trHeight w:val="630"/>
      </w:trPr>
      <w:tc>
        <w:tcPr>
          <w:tcW w:w="4417" w:type="dxa"/>
          <w:gridSpan w:val="2"/>
          <w:tcBorders>
            <w:top w:val="single" w:sz="8" w:space="0" w:color="auto"/>
            <w:left w:val="nil"/>
            <w:bottom w:val="nil"/>
            <w:right w:val="nil"/>
          </w:tcBorders>
          <w:noWrap/>
          <w:tcMar>
            <w:top w:w="0" w:type="dxa"/>
            <w:left w:w="70" w:type="dxa"/>
            <w:bottom w:w="0" w:type="dxa"/>
            <w:right w:w="70" w:type="dxa"/>
          </w:tcMar>
          <w:vAlign w:val="bottom"/>
          <w:hideMark/>
        </w:tcPr>
        <w:p w14:paraId="70F7D8AB" w14:textId="5EE9793A" w:rsidR="003F5C49" w:rsidRPr="009472D4" w:rsidRDefault="003F5C49" w:rsidP="00794B33">
          <w:pPr>
            <w:spacing w:before="100" w:beforeAutospacing="1" w:after="100" w:afterAutospacing="1" w:line="240" w:lineRule="auto"/>
            <w:rPr>
              <w:rFonts w:ascii="Times New Roman" w:eastAsia="Times New Roman" w:hAnsi="Times New Roman" w:cs="Times New Roman"/>
              <w:sz w:val="24"/>
              <w:szCs w:val="24"/>
            </w:rPr>
          </w:pPr>
          <w:r w:rsidRPr="009472D4">
            <w:rPr>
              <w:rFonts w:eastAsia="Times New Roman" w:cs="Arial"/>
              <w:b/>
              <w:bCs/>
              <w:i/>
              <w:iCs/>
              <w:color w:val="000000"/>
              <w:sz w:val="24"/>
              <w:szCs w:val="24"/>
            </w:rPr>
            <w:t xml:space="preserve">Hrazeno z projektu </w:t>
          </w:r>
          <w:r w:rsidR="00B514C9">
            <w:rPr>
              <w:rFonts w:eastAsia="Times New Roman" w:cs="Arial"/>
              <w:b/>
              <w:bCs/>
              <w:i/>
              <w:iCs/>
              <w:color w:val="000000"/>
              <w:sz w:val="24"/>
              <w:szCs w:val="24"/>
            </w:rPr>
            <w:t>OPST</w:t>
          </w:r>
          <w:r w:rsidRPr="009472D4">
            <w:rPr>
              <w:rFonts w:eastAsia="Times New Roman" w:cs="Arial"/>
              <w:b/>
              <w:bCs/>
              <w:i/>
              <w:iCs/>
              <w:color w:val="000000"/>
              <w:sz w:val="24"/>
              <w:szCs w:val="24"/>
            </w:rPr>
            <w:t xml:space="preserve"> 20</w:t>
          </w:r>
          <w:r w:rsidR="00B514C9">
            <w:rPr>
              <w:rFonts w:eastAsia="Times New Roman" w:cs="Arial"/>
              <w:b/>
              <w:bCs/>
              <w:i/>
              <w:iCs/>
              <w:color w:val="000000"/>
              <w:sz w:val="24"/>
              <w:szCs w:val="24"/>
            </w:rPr>
            <w:t>21</w:t>
          </w:r>
          <w:r w:rsidRPr="009472D4">
            <w:rPr>
              <w:rFonts w:eastAsia="Times New Roman" w:cs="Arial"/>
              <w:b/>
              <w:bCs/>
              <w:i/>
              <w:iCs/>
              <w:color w:val="000000"/>
              <w:sz w:val="24"/>
              <w:szCs w:val="24"/>
            </w:rPr>
            <w:t>-202</w:t>
          </w:r>
          <w:r w:rsidR="00B514C9">
            <w:rPr>
              <w:rFonts w:eastAsia="Times New Roman" w:cs="Arial"/>
              <w:b/>
              <w:bCs/>
              <w:i/>
              <w:iCs/>
              <w:color w:val="000000"/>
              <w:sz w:val="24"/>
              <w:szCs w:val="24"/>
            </w:rPr>
            <w:t>7</w:t>
          </w:r>
          <w:r w:rsidRPr="009472D4">
            <w:rPr>
              <w:rFonts w:eastAsia="Times New Roman" w:cs="Arial"/>
              <w:b/>
              <w:bCs/>
              <w:i/>
              <w:iCs/>
              <w:color w:val="000000"/>
              <w:sz w:val="24"/>
              <w:szCs w:val="24"/>
            </w:rPr>
            <w:t xml:space="preserve">: </w:t>
          </w:r>
        </w:p>
      </w:tc>
      <w:tc>
        <w:tcPr>
          <w:tcW w:w="950" w:type="dxa"/>
          <w:tcMar>
            <w:top w:w="0" w:type="dxa"/>
            <w:left w:w="70" w:type="dxa"/>
            <w:bottom w:w="0" w:type="dxa"/>
            <w:right w:w="70" w:type="dxa"/>
          </w:tcMar>
          <w:vAlign w:val="bottom"/>
          <w:hideMark/>
        </w:tcPr>
        <w:p w14:paraId="6F401925" w14:textId="77777777" w:rsidR="003F5C49" w:rsidRPr="009472D4" w:rsidRDefault="003F5C49" w:rsidP="00794B33">
          <w:pPr>
            <w:spacing w:after="0" w:line="240" w:lineRule="auto"/>
            <w:rPr>
              <w:rFonts w:ascii="Times New Roman" w:eastAsia="Times New Roman" w:hAnsi="Times New Roman" w:cs="Times New Roman"/>
              <w:sz w:val="24"/>
              <w:szCs w:val="24"/>
            </w:rPr>
          </w:pPr>
        </w:p>
      </w:tc>
      <w:tc>
        <w:tcPr>
          <w:tcW w:w="2640" w:type="dxa"/>
          <w:tcBorders>
            <w:top w:val="single" w:sz="8" w:space="0" w:color="auto"/>
            <w:left w:val="nil"/>
            <w:bottom w:val="nil"/>
            <w:right w:val="nil"/>
          </w:tcBorders>
          <w:tcMar>
            <w:top w:w="0" w:type="dxa"/>
            <w:left w:w="70" w:type="dxa"/>
            <w:bottom w:w="0" w:type="dxa"/>
            <w:right w:w="70" w:type="dxa"/>
          </w:tcMar>
          <w:vAlign w:val="bottom"/>
          <w:hideMark/>
        </w:tcPr>
        <w:p w14:paraId="0911988E" w14:textId="3DDC9231" w:rsidR="003F5C49" w:rsidRPr="009472D4" w:rsidRDefault="003F5C49" w:rsidP="00794B33">
          <w:pPr>
            <w:spacing w:before="100" w:beforeAutospacing="1" w:after="100" w:afterAutospacing="1" w:line="240" w:lineRule="auto"/>
            <w:rPr>
              <w:rFonts w:ascii="Times New Roman" w:eastAsia="Times New Roman" w:hAnsi="Times New Roman" w:cs="Times New Roman"/>
              <w:sz w:val="24"/>
              <w:szCs w:val="24"/>
            </w:rPr>
          </w:pPr>
          <w:r w:rsidRPr="009472D4">
            <w:rPr>
              <w:rFonts w:eastAsia="Times New Roman" w:cs="Arial"/>
              <w:b/>
              <w:bCs/>
              <w:i/>
              <w:iCs/>
              <w:color w:val="000000"/>
              <w:sz w:val="24"/>
              <w:szCs w:val="24"/>
            </w:rPr>
            <w:t>RE:START</w:t>
          </w:r>
          <w:r>
            <w:rPr>
              <w:rFonts w:eastAsia="Times New Roman" w:cs="Arial"/>
              <w:b/>
              <w:bCs/>
              <w:i/>
              <w:iCs/>
              <w:color w:val="000000"/>
              <w:sz w:val="24"/>
              <w:szCs w:val="24"/>
            </w:rPr>
            <w:t xml:space="preserve"> II</w:t>
          </w:r>
          <w:r w:rsidR="00B514C9">
            <w:rPr>
              <w:rFonts w:eastAsia="Times New Roman" w:cs="Arial"/>
              <w:b/>
              <w:bCs/>
              <w:i/>
              <w:iCs/>
              <w:color w:val="000000"/>
              <w:sz w:val="24"/>
              <w:szCs w:val="24"/>
            </w:rPr>
            <w:t>I</w:t>
          </w:r>
        </w:p>
      </w:tc>
    </w:tr>
    <w:tr w:rsidR="003F5C49" w:rsidRPr="009472D4" w14:paraId="5F19F5B3" w14:textId="77777777" w:rsidTr="00096AD3">
      <w:trPr>
        <w:trHeight w:val="510"/>
      </w:trPr>
      <w:tc>
        <w:tcPr>
          <w:tcW w:w="4271" w:type="dxa"/>
          <w:noWrap/>
          <w:tcMar>
            <w:top w:w="0" w:type="dxa"/>
            <w:left w:w="70" w:type="dxa"/>
            <w:bottom w:w="0" w:type="dxa"/>
            <w:right w:w="70" w:type="dxa"/>
          </w:tcMar>
          <w:vAlign w:val="center"/>
          <w:hideMark/>
        </w:tcPr>
        <w:p w14:paraId="06AEB31C" w14:textId="77777777" w:rsidR="003F5C49" w:rsidRPr="009472D4" w:rsidRDefault="003F5C49" w:rsidP="00794B33">
          <w:pPr>
            <w:spacing w:before="100" w:beforeAutospacing="1" w:after="100" w:afterAutospacing="1" w:line="240" w:lineRule="auto"/>
            <w:rPr>
              <w:rFonts w:ascii="Times New Roman" w:eastAsia="Times New Roman" w:hAnsi="Times New Roman" w:cs="Times New Roman"/>
              <w:sz w:val="24"/>
              <w:szCs w:val="24"/>
            </w:rPr>
          </w:pPr>
          <w:r w:rsidRPr="009472D4">
            <w:rPr>
              <w:rFonts w:eastAsia="Times New Roman" w:cs="Arial"/>
              <w:b/>
              <w:bCs/>
              <w:i/>
              <w:iCs/>
              <w:color w:val="000000"/>
              <w:sz w:val="24"/>
              <w:szCs w:val="24"/>
            </w:rPr>
            <w:t>reg. číslo:</w:t>
          </w:r>
        </w:p>
      </w:tc>
      <w:tc>
        <w:tcPr>
          <w:tcW w:w="146" w:type="dxa"/>
          <w:noWrap/>
          <w:tcMar>
            <w:top w:w="0" w:type="dxa"/>
            <w:left w:w="70" w:type="dxa"/>
            <w:bottom w:w="0" w:type="dxa"/>
            <w:right w:w="70" w:type="dxa"/>
          </w:tcMar>
          <w:vAlign w:val="bottom"/>
          <w:hideMark/>
        </w:tcPr>
        <w:p w14:paraId="7719DAD0" w14:textId="77777777" w:rsidR="003F5C49" w:rsidRPr="009472D4" w:rsidRDefault="003F5C49" w:rsidP="00794B33">
          <w:pPr>
            <w:spacing w:after="0" w:line="240" w:lineRule="auto"/>
            <w:rPr>
              <w:rFonts w:ascii="Times New Roman" w:eastAsia="Times New Roman" w:hAnsi="Times New Roman" w:cs="Times New Roman"/>
              <w:sz w:val="24"/>
              <w:szCs w:val="24"/>
            </w:rPr>
          </w:pPr>
        </w:p>
      </w:tc>
      <w:tc>
        <w:tcPr>
          <w:tcW w:w="950" w:type="dxa"/>
          <w:noWrap/>
          <w:tcMar>
            <w:top w:w="0" w:type="dxa"/>
            <w:left w:w="70" w:type="dxa"/>
            <w:bottom w:w="0" w:type="dxa"/>
            <w:right w:w="70" w:type="dxa"/>
          </w:tcMar>
          <w:vAlign w:val="center"/>
          <w:hideMark/>
        </w:tcPr>
        <w:p w14:paraId="35EC63C0" w14:textId="77777777" w:rsidR="003F5C49" w:rsidRPr="009472D4" w:rsidRDefault="003F5C49" w:rsidP="00794B33">
          <w:pPr>
            <w:spacing w:after="0" w:line="240" w:lineRule="auto"/>
            <w:rPr>
              <w:rFonts w:ascii="Times New Roman" w:eastAsia="Times New Roman" w:hAnsi="Times New Roman" w:cs="Times New Roman"/>
              <w:sz w:val="24"/>
              <w:szCs w:val="24"/>
            </w:rPr>
          </w:pPr>
        </w:p>
      </w:tc>
      <w:tc>
        <w:tcPr>
          <w:tcW w:w="4315" w:type="dxa"/>
          <w:gridSpan w:val="2"/>
          <w:noWrap/>
          <w:tcMar>
            <w:top w:w="0" w:type="dxa"/>
            <w:left w:w="70" w:type="dxa"/>
            <w:bottom w:w="0" w:type="dxa"/>
            <w:right w:w="70" w:type="dxa"/>
          </w:tcMar>
          <w:vAlign w:val="bottom"/>
          <w:hideMark/>
        </w:tcPr>
        <w:p w14:paraId="48BB9397" w14:textId="076583B0" w:rsidR="003F5C49" w:rsidRPr="00B514C9" w:rsidRDefault="003F5C49" w:rsidP="00794B33">
          <w:pPr>
            <w:spacing w:before="100" w:beforeAutospacing="1" w:after="100" w:afterAutospacing="1" w:line="240" w:lineRule="auto"/>
            <w:rPr>
              <w:rFonts w:eastAsia="Times New Roman" w:cs="Arial"/>
              <w:b/>
              <w:bCs/>
              <w:i/>
              <w:iCs/>
              <w:color w:val="000000"/>
              <w:sz w:val="24"/>
              <w:szCs w:val="24"/>
            </w:rPr>
          </w:pPr>
          <w:r w:rsidRPr="0021653B">
            <w:rPr>
              <w:rFonts w:eastAsia="Times New Roman" w:cs="Arial"/>
              <w:b/>
              <w:bCs/>
              <w:i/>
              <w:iCs/>
              <w:color w:val="000000"/>
              <w:sz w:val="24"/>
              <w:szCs w:val="24"/>
            </w:rPr>
            <w:t>CZ.</w:t>
          </w:r>
          <w:r w:rsidR="00B514C9">
            <w:rPr>
              <w:rFonts w:eastAsia="Times New Roman" w:cs="Arial"/>
              <w:b/>
              <w:bCs/>
              <w:i/>
              <w:iCs/>
              <w:color w:val="000000"/>
              <w:sz w:val="24"/>
              <w:szCs w:val="24"/>
            </w:rPr>
            <w:t>10</w:t>
          </w:r>
          <w:r w:rsidRPr="0021653B">
            <w:rPr>
              <w:rFonts w:eastAsia="Times New Roman" w:cs="Arial"/>
              <w:b/>
              <w:bCs/>
              <w:i/>
              <w:iCs/>
              <w:color w:val="000000"/>
              <w:sz w:val="24"/>
              <w:szCs w:val="24"/>
            </w:rPr>
            <w:t>.</w:t>
          </w:r>
          <w:r w:rsidR="00B514C9">
            <w:rPr>
              <w:rFonts w:eastAsia="Times New Roman" w:cs="Arial"/>
              <w:b/>
              <w:bCs/>
              <w:i/>
              <w:iCs/>
              <w:color w:val="000000"/>
              <w:sz w:val="24"/>
              <w:szCs w:val="24"/>
            </w:rPr>
            <w:t>04</w:t>
          </w:r>
          <w:r w:rsidRPr="0021653B">
            <w:rPr>
              <w:rFonts w:eastAsia="Times New Roman" w:cs="Arial"/>
              <w:b/>
              <w:bCs/>
              <w:i/>
              <w:iCs/>
              <w:color w:val="000000"/>
              <w:sz w:val="24"/>
              <w:szCs w:val="24"/>
            </w:rPr>
            <w:t>.</w:t>
          </w:r>
          <w:r w:rsidR="00B514C9">
            <w:rPr>
              <w:rFonts w:eastAsia="Times New Roman" w:cs="Arial"/>
              <w:b/>
              <w:bCs/>
              <w:i/>
              <w:iCs/>
              <w:color w:val="000000"/>
              <w:sz w:val="24"/>
              <w:szCs w:val="24"/>
            </w:rPr>
            <w:t>01</w:t>
          </w:r>
          <w:r w:rsidRPr="0021653B">
            <w:rPr>
              <w:rFonts w:eastAsia="Times New Roman" w:cs="Arial"/>
              <w:b/>
              <w:bCs/>
              <w:i/>
              <w:iCs/>
              <w:color w:val="000000"/>
              <w:sz w:val="24"/>
              <w:szCs w:val="24"/>
            </w:rPr>
            <w:t>/00/</w:t>
          </w:r>
          <w:r w:rsidR="00B514C9">
            <w:rPr>
              <w:rFonts w:eastAsia="Times New Roman" w:cs="Arial"/>
              <w:b/>
              <w:bCs/>
              <w:i/>
              <w:iCs/>
              <w:color w:val="000000"/>
              <w:sz w:val="24"/>
              <w:szCs w:val="24"/>
            </w:rPr>
            <w:t>22_004</w:t>
          </w:r>
          <w:r w:rsidRPr="0021653B">
            <w:rPr>
              <w:rFonts w:eastAsia="Times New Roman" w:cs="Arial"/>
              <w:b/>
              <w:bCs/>
              <w:i/>
              <w:iCs/>
              <w:color w:val="000000"/>
              <w:sz w:val="24"/>
              <w:szCs w:val="24"/>
            </w:rPr>
            <w:t>/0000</w:t>
          </w:r>
          <w:r w:rsidR="00B514C9">
            <w:rPr>
              <w:rFonts w:eastAsia="Times New Roman" w:cs="Arial"/>
              <w:b/>
              <w:bCs/>
              <w:i/>
              <w:iCs/>
              <w:color w:val="000000"/>
              <w:sz w:val="24"/>
              <w:szCs w:val="24"/>
            </w:rPr>
            <w:t>00</w:t>
          </w:r>
          <w:r w:rsidRPr="0021653B">
            <w:rPr>
              <w:rFonts w:eastAsia="Times New Roman" w:cs="Arial"/>
              <w:b/>
              <w:bCs/>
              <w:i/>
              <w:iCs/>
              <w:color w:val="000000"/>
              <w:sz w:val="24"/>
              <w:szCs w:val="24"/>
            </w:rPr>
            <w:t>1</w:t>
          </w:r>
        </w:p>
      </w:tc>
    </w:tr>
  </w:tbl>
  <w:p w14:paraId="5C4E9D61" w14:textId="77777777" w:rsidR="003F5C49" w:rsidRDefault="003F5C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94920" w14:textId="77777777" w:rsidR="003F5C49" w:rsidRDefault="003F5C49" w:rsidP="00452578">
      <w:pPr>
        <w:spacing w:after="0" w:line="240" w:lineRule="auto"/>
      </w:pPr>
      <w:r>
        <w:separator/>
      </w:r>
    </w:p>
  </w:footnote>
  <w:footnote w:type="continuationSeparator" w:id="0">
    <w:p w14:paraId="080FCAE7" w14:textId="77777777" w:rsidR="003F5C49" w:rsidRDefault="003F5C49" w:rsidP="00452578">
      <w:pPr>
        <w:spacing w:after="0" w:line="240" w:lineRule="auto"/>
      </w:pPr>
      <w:r>
        <w:continuationSeparator/>
      </w:r>
    </w:p>
  </w:footnote>
  <w:footnote w:type="continuationNotice" w:id="1">
    <w:p w14:paraId="343BB6F8" w14:textId="77777777" w:rsidR="003F5C49" w:rsidRDefault="003F5C49">
      <w:pPr>
        <w:spacing w:after="0" w:line="240" w:lineRule="auto"/>
      </w:pPr>
    </w:p>
  </w:footnote>
  <w:footnote w:id="2">
    <w:p w14:paraId="37452142" w14:textId="77777777" w:rsidR="00FF0942" w:rsidRPr="00C539BB" w:rsidRDefault="00FF0942" w:rsidP="00FF0942">
      <w:pPr>
        <w:pStyle w:val="Textpoznpodarou"/>
        <w:rPr>
          <w:sz w:val="16"/>
          <w:szCs w:val="16"/>
        </w:rPr>
      </w:pPr>
      <w:r w:rsidRPr="00C539BB">
        <w:rPr>
          <w:rStyle w:val="Znakapoznpodarou"/>
          <w:sz w:val="16"/>
          <w:szCs w:val="16"/>
        </w:rPr>
        <w:footnoteRef/>
      </w:r>
      <w:r w:rsidRPr="00C539BB">
        <w:rPr>
          <w:sz w:val="16"/>
          <w:szCs w:val="16"/>
        </w:rPr>
        <w:t xml:space="preserve"> Do výpočtu podílu lze použít počet projektů, objem prostředků, VaV výsledky.</w:t>
      </w:r>
    </w:p>
  </w:footnote>
  <w:footnote w:id="3">
    <w:p w14:paraId="67E703BE" w14:textId="77777777" w:rsidR="003F5C49" w:rsidRPr="007B66ED" w:rsidRDefault="003F5C49" w:rsidP="00CB4A00">
      <w:pPr>
        <w:pStyle w:val="Textpoznpodarou"/>
        <w:rPr>
          <w:rFonts w:ascii="Arial" w:hAnsi="Arial" w:cs="Arial"/>
        </w:rPr>
      </w:pPr>
      <w:r>
        <w:rPr>
          <w:rStyle w:val="Znakapoznpodarou"/>
        </w:rPr>
        <w:footnoteRef/>
      </w:r>
      <w:r>
        <w:t xml:space="preserve"> </w:t>
      </w:r>
      <w:r w:rsidRPr="007B66ED">
        <w:rPr>
          <w:rFonts w:ascii="Arial" w:hAnsi="Arial" w:cs="Arial"/>
        </w:rPr>
        <w:t>Strategické projekty přesahují rámec jednoho dotačního zdroje. Předpokládá se u nich tedy vícezdrojové financování s přihlédnutím k aktuálním možnostem jednotlivých finančních zdrojů uvedených mezi předpokládanými zdroji financování.</w:t>
      </w:r>
    </w:p>
    <w:p w14:paraId="24877EEB" w14:textId="77777777" w:rsidR="003F5C49" w:rsidRDefault="003F5C49" w:rsidP="00CB4A00">
      <w:pPr>
        <w:pStyle w:val="Textpoznpodarou"/>
      </w:pPr>
    </w:p>
  </w:footnote>
  <w:footnote w:id="4">
    <w:p w14:paraId="7D1CD09D" w14:textId="77777777" w:rsidR="003F5C49" w:rsidRDefault="003F5C49" w:rsidP="00CB4A00">
      <w:pPr>
        <w:pStyle w:val="Textpoznpodarou"/>
      </w:pPr>
      <w:r>
        <w:rPr>
          <w:rStyle w:val="Znakapoznpodarou"/>
        </w:rPr>
        <w:footnoteRef/>
      </w:r>
      <w:r>
        <w:t xml:space="preserve"> </w:t>
      </w:r>
      <w:r w:rsidRPr="007B1784">
        <w:t>IROP a národní dotační tituly jsou zaměřené na podporu veřejné infrastruktury cestovního ruchu (např. značení turistických tras, vybavenost turistických tras (odpočívadla, sociální zařízení, mapové a informační panely, prvky interpretace, budování expozic, budování a modernizace turistických informačních center atd.) – na realizaci podnikatelských aktivit, respektive aktivit souvisejících s poskytováním ubytovacích a stravovacích služeb, či půjčovny sportovních potřeb je nutné hledat jiné zdroje financování.</w:t>
      </w:r>
    </w:p>
  </w:footnote>
  <w:footnote w:id="5">
    <w:p w14:paraId="557C0FAB" w14:textId="77777777" w:rsidR="003F5C49" w:rsidRPr="007B66ED" w:rsidRDefault="003F5C49" w:rsidP="00CB4A00">
      <w:pPr>
        <w:pStyle w:val="Textpoznpodarou"/>
        <w:rPr>
          <w:rFonts w:ascii="Arial" w:hAnsi="Arial" w:cs="Arial"/>
        </w:rPr>
      </w:pPr>
      <w:r>
        <w:rPr>
          <w:rStyle w:val="Znakapoznpodarou"/>
        </w:rPr>
        <w:footnoteRef/>
      </w:r>
      <w:r>
        <w:t xml:space="preserve"> </w:t>
      </w:r>
      <w:r w:rsidRPr="007B66ED">
        <w:rPr>
          <w:rFonts w:ascii="Arial" w:hAnsi="Arial" w:cs="Arial"/>
        </w:rPr>
        <w:t>Strategické projekty přesahují rámec jednoho dotačního zdroje. Předpokládá se u nich tedy vícezdrojové financování s přihlédnutím k aktuálním možnostem jednotlivých finančních zdrojů uvedených mezi předpokládanými zdroji financování.</w:t>
      </w:r>
    </w:p>
    <w:p w14:paraId="1371FE0C" w14:textId="77777777" w:rsidR="003F5C49" w:rsidRDefault="003F5C49" w:rsidP="00CB4A00">
      <w:pPr>
        <w:pStyle w:val="Textpoznpodarou"/>
      </w:pPr>
    </w:p>
  </w:footnote>
  <w:footnote w:id="6">
    <w:p w14:paraId="172BCD8E" w14:textId="77777777" w:rsidR="003F5C49" w:rsidRPr="007B66ED" w:rsidRDefault="003F5C49" w:rsidP="00CB4A00">
      <w:pPr>
        <w:pStyle w:val="Textpoznpodarou"/>
        <w:rPr>
          <w:rFonts w:ascii="Arial" w:hAnsi="Arial" w:cs="Arial"/>
        </w:rPr>
      </w:pPr>
      <w:r>
        <w:rPr>
          <w:rStyle w:val="Znakapoznpodarou"/>
        </w:rPr>
        <w:footnoteRef/>
      </w:r>
      <w:r>
        <w:t xml:space="preserve"> </w:t>
      </w:r>
      <w:r w:rsidRPr="007B66ED">
        <w:rPr>
          <w:rFonts w:ascii="Arial" w:hAnsi="Arial" w:cs="Arial"/>
        </w:rPr>
        <w:t>Strategické projekty přesahují rámec jednoho dotačního zdroje. Předpokládá se u nich tedy vícezdrojové financování s přihlédnutím k aktuálním možnostem jednotlivých finančních zdrojů uvedených mezi předpokládanými zdroji financování.</w:t>
      </w:r>
    </w:p>
    <w:p w14:paraId="06798719" w14:textId="77777777" w:rsidR="003F5C49" w:rsidRDefault="003F5C49" w:rsidP="00CB4A00">
      <w:pPr>
        <w:pStyle w:val="Textpoznpodarou"/>
      </w:pPr>
    </w:p>
  </w:footnote>
  <w:footnote w:id="7">
    <w:p w14:paraId="06CA3146" w14:textId="77777777" w:rsidR="003F5C49" w:rsidRDefault="003F5C49" w:rsidP="00614FFD">
      <w:pPr>
        <w:pStyle w:val="Textpoznpodarou"/>
        <w:jc w:val="both"/>
      </w:pPr>
      <w:r>
        <w:rPr>
          <w:rStyle w:val="Znakapoznpodarou"/>
        </w:rPr>
        <w:footnoteRef/>
      </w:r>
      <w:r>
        <w:t xml:space="preserve"> </w:t>
      </w:r>
      <w:r w:rsidRPr="00AF30D8">
        <w:rPr>
          <w:rFonts w:ascii="Arial" w:hAnsi="Arial" w:cs="Arial"/>
          <w:sz w:val="18"/>
          <w:szCs w:val="18"/>
        </w:rPr>
        <w:t>IROP a národní dotační tituly jsou zaměřené na podporu veřejné infrastruktury cestovního ruchu (např. značení turistických tras, vybavenost turistických tras (odpočívadla, sociální zařízení, mapové a informační panely, prvky interpretace, budování expozic, budování a modernizace turistických informačních center atd.) – na realizaci podnikatelských aktivit, respektive aktivit souvisejících s poskytováním ubytovacích a stravovacích služeb, či půjčovny sportovních potřeb je nutné hledat jiné zdroje financování.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6587" w14:textId="6C1F3DD8" w:rsidR="00B85DCB" w:rsidRDefault="00AC017F">
    <w:pPr>
      <w:pStyle w:val="Zhlav"/>
    </w:pPr>
    <w:r>
      <w:rPr>
        <w:noProof/>
      </w:rPr>
      <w:pict w14:anchorId="002A26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674422" o:spid="_x0000_s122883" type="#_x0000_t136" style="position:absolute;margin-left:0;margin-top:0;width:564.3pt;height:75.2pt;rotation:315;z-index:-251651072;mso-position-horizontal:center;mso-position-horizontal-relative:margin;mso-position-vertical:center;mso-position-vertical-relative:margin" o:allowincell="f" fillcolor="silver" stroked="f">
          <v:fill opacity=".5"/>
          <v:textpath style="font-family:&quot;Arial&quot;;font-size:1pt" string="PRACOVNÍ VERZ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9C73" w14:textId="1B7D0965" w:rsidR="003F5C49" w:rsidRDefault="00AC017F" w:rsidP="00452578">
    <w:pPr>
      <w:pStyle w:val="Zhlav"/>
      <w:jc w:val="center"/>
    </w:pPr>
    <w:r>
      <w:rPr>
        <w:noProof/>
      </w:rPr>
      <w:pict w14:anchorId="4BC339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674423" o:spid="_x0000_s122884" type="#_x0000_t136" style="position:absolute;left:0;text-align:left;margin-left:0;margin-top:0;width:564.3pt;height:75.2pt;rotation:315;z-index:-251649024;mso-position-horizontal:center;mso-position-horizontal-relative:margin;mso-position-vertical:center;mso-position-vertical-relative:margin" o:allowincell="f" fillcolor="silver" stroked="f">
          <v:fill opacity=".5"/>
          <v:textpath style="font-family:&quot;Arial&quot;;font-size:1pt" string="PRACOVNÍ VERZE"/>
          <w10:wrap anchorx="margin" anchory="margin"/>
        </v:shape>
      </w:pict>
    </w:r>
    <w:r w:rsidR="003F5C49" w:rsidRPr="00BA0E8F">
      <w:rPr>
        <w:noProof/>
        <w:lang w:eastAsia="cs-CZ"/>
      </w:rPr>
      <w:drawing>
        <wp:inline distT="0" distB="0" distL="0" distR="0" wp14:anchorId="7D2B3ECD" wp14:editId="4010C283">
          <wp:extent cx="1923731" cy="648335"/>
          <wp:effectExtent l="0" t="0" r="635" b="0"/>
          <wp:docPr id="24" name="Obrázek 24" descr="C:\Users\lanand\Desktop\MMMR - formuláře\NVT - návrh formulářů\NT 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Desktop\MMMR - formuláře\NVT - návrh formulářů\NT RESTART v3_ba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1522"/>
                  <a:stretch/>
                </pic:blipFill>
                <pic:spPr bwMode="auto">
                  <a:xfrm>
                    <a:off x="0" y="0"/>
                    <a:ext cx="1996148" cy="67274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F2DA" w14:textId="1D125309" w:rsidR="003F5C49" w:rsidRDefault="00AC017F" w:rsidP="007B53F4">
    <w:pPr>
      <w:pStyle w:val="Zhlav"/>
      <w:jc w:val="center"/>
    </w:pPr>
    <w:r>
      <w:rPr>
        <w:noProof/>
      </w:rPr>
      <w:pict w14:anchorId="4AAE55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5674421" o:spid="_x0000_s122882" type="#_x0000_t136" style="position:absolute;left:0;text-align:left;margin-left:0;margin-top:0;width:564.3pt;height:75.2pt;rotation:315;z-index:-251653120;mso-position-horizontal:center;mso-position-horizontal-relative:margin;mso-position-vertical:center;mso-position-vertical-relative:margin" o:allowincell="f" fillcolor="silver" stroked="f">
          <v:fill opacity=".5"/>
          <v:textpath style="font-family:&quot;Arial&quot;;font-size:1pt" string="PRACOVNÍ VERZE"/>
          <w10:wrap anchorx="margin" anchory="margin"/>
        </v:shape>
      </w:pict>
    </w:r>
    <w:r w:rsidR="003F5C49" w:rsidRPr="00BA0E8F">
      <w:rPr>
        <w:noProof/>
        <w:lang w:eastAsia="cs-CZ"/>
      </w:rPr>
      <w:drawing>
        <wp:inline distT="0" distB="0" distL="0" distR="0" wp14:anchorId="0FA27F22" wp14:editId="67F3E2C3">
          <wp:extent cx="1923731" cy="648335"/>
          <wp:effectExtent l="0" t="0" r="635" b="0"/>
          <wp:docPr id="26" name="Obrázek 26" descr="C:\Users\lanand\Desktop\MMMR - formuláře\NVT - návrh formulářů\NT RESTART v3_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nand\Desktop\MMMR - formuláře\NVT - návrh formulářů\NT RESTART v3_ba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1522"/>
                  <a:stretch/>
                </pic:blipFill>
                <pic:spPr bwMode="auto">
                  <a:xfrm>
                    <a:off x="0" y="0"/>
                    <a:ext cx="1996148" cy="67274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9339F"/>
    <w:multiLevelType w:val="hybridMultilevel"/>
    <w:tmpl w:val="102240AE"/>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 w15:restartNumberingAfterBreak="0">
    <w:nsid w:val="19F5730D"/>
    <w:multiLevelType w:val="hybridMultilevel"/>
    <w:tmpl w:val="11D0A0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D271DD2"/>
    <w:multiLevelType w:val="hybridMultilevel"/>
    <w:tmpl w:val="5AC6D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C685399"/>
    <w:multiLevelType w:val="hybridMultilevel"/>
    <w:tmpl w:val="D24C569A"/>
    <w:lvl w:ilvl="0" w:tplc="CC8E0D44">
      <w:start w:val="2"/>
      <w:numFmt w:val="bullet"/>
      <w:lvlText w:val="-"/>
      <w:lvlJc w:val="left"/>
      <w:pPr>
        <w:ind w:left="720" w:hanging="360"/>
      </w:pPr>
      <w:rPr>
        <w:rFonts w:ascii="Calibri" w:hAnsi="Calibri" w:cs="Calibri" w:hint="default"/>
        <w:b/>
      </w:rPr>
    </w:lvl>
    <w:lvl w:ilvl="1" w:tplc="671ACA60">
      <w:start w:val="1"/>
      <w:numFmt w:val="bullet"/>
      <w:lvlText w:val="o"/>
      <w:lvlJc w:val="left"/>
      <w:pPr>
        <w:ind w:left="1440" w:hanging="360"/>
      </w:pPr>
      <w:rPr>
        <w:rFonts w:ascii="Courier New" w:hAnsi="Courier New" w:cs="Courier New" w:hint="default"/>
      </w:rPr>
    </w:lvl>
    <w:lvl w:ilvl="2" w:tplc="7040C11E">
      <w:start w:val="1"/>
      <w:numFmt w:val="bullet"/>
      <w:lvlText w:val=""/>
      <w:lvlJc w:val="left"/>
      <w:pPr>
        <w:ind w:left="2160" w:hanging="360"/>
      </w:pPr>
      <w:rPr>
        <w:rFonts w:ascii="Wingdings" w:hAnsi="Wingdings" w:cs="Wingdings" w:hint="default"/>
      </w:rPr>
    </w:lvl>
    <w:lvl w:ilvl="3" w:tplc="0F325D2E">
      <w:start w:val="1"/>
      <w:numFmt w:val="bullet"/>
      <w:lvlText w:val=""/>
      <w:lvlJc w:val="left"/>
      <w:pPr>
        <w:ind w:left="2880" w:hanging="360"/>
      </w:pPr>
      <w:rPr>
        <w:rFonts w:ascii="Symbol" w:hAnsi="Symbol" w:cs="Symbol" w:hint="default"/>
      </w:rPr>
    </w:lvl>
    <w:lvl w:ilvl="4" w:tplc="34A409CE">
      <w:start w:val="1"/>
      <w:numFmt w:val="bullet"/>
      <w:lvlText w:val="o"/>
      <w:lvlJc w:val="left"/>
      <w:pPr>
        <w:ind w:left="3600" w:hanging="360"/>
      </w:pPr>
      <w:rPr>
        <w:rFonts w:ascii="Courier New" w:hAnsi="Courier New" w:cs="Courier New" w:hint="default"/>
      </w:rPr>
    </w:lvl>
    <w:lvl w:ilvl="5" w:tplc="81AADC0E">
      <w:start w:val="1"/>
      <w:numFmt w:val="bullet"/>
      <w:lvlText w:val=""/>
      <w:lvlJc w:val="left"/>
      <w:pPr>
        <w:ind w:left="4320" w:hanging="360"/>
      </w:pPr>
      <w:rPr>
        <w:rFonts w:ascii="Wingdings" w:hAnsi="Wingdings" w:cs="Wingdings" w:hint="default"/>
      </w:rPr>
    </w:lvl>
    <w:lvl w:ilvl="6" w:tplc="8970321A">
      <w:start w:val="1"/>
      <w:numFmt w:val="bullet"/>
      <w:lvlText w:val=""/>
      <w:lvlJc w:val="left"/>
      <w:pPr>
        <w:ind w:left="5040" w:hanging="360"/>
      </w:pPr>
      <w:rPr>
        <w:rFonts w:ascii="Symbol" w:hAnsi="Symbol" w:cs="Symbol" w:hint="default"/>
      </w:rPr>
    </w:lvl>
    <w:lvl w:ilvl="7" w:tplc="A0AA1D48">
      <w:start w:val="1"/>
      <w:numFmt w:val="bullet"/>
      <w:lvlText w:val="o"/>
      <w:lvlJc w:val="left"/>
      <w:pPr>
        <w:ind w:left="5760" w:hanging="360"/>
      </w:pPr>
      <w:rPr>
        <w:rFonts w:ascii="Courier New" w:hAnsi="Courier New" w:cs="Courier New" w:hint="default"/>
      </w:rPr>
    </w:lvl>
    <w:lvl w:ilvl="8" w:tplc="BFF0DE78">
      <w:start w:val="1"/>
      <w:numFmt w:val="bullet"/>
      <w:lvlText w:val=""/>
      <w:lvlJc w:val="left"/>
      <w:pPr>
        <w:ind w:left="6480" w:hanging="360"/>
      </w:pPr>
      <w:rPr>
        <w:rFonts w:ascii="Wingdings" w:hAnsi="Wingdings" w:cs="Wingdings" w:hint="default"/>
      </w:rPr>
    </w:lvl>
  </w:abstractNum>
  <w:abstractNum w:abstractNumId="4" w15:restartNumberingAfterBreak="0">
    <w:nsid w:val="33A75386"/>
    <w:multiLevelType w:val="hybridMultilevel"/>
    <w:tmpl w:val="9820A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A30F16"/>
    <w:multiLevelType w:val="hybridMultilevel"/>
    <w:tmpl w:val="F020C0CA"/>
    <w:lvl w:ilvl="0" w:tplc="566252F0">
      <w:start w:val="1"/>
      <w:numFmt w:val="bullet"/>
      <w:lvlText w:val="-"/>
      <w:lvlJc w:val="left"/>
      <w:pPr>
        <w:ind w:left="720" w:hanging="360"/>
      </w:pPr>
      <w:rPr>
        <w:rFonts w:ascii="Calibri" w:eastAsia="Calibri" w:hAnsi="Calibri"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3255B6"/>
    <w:multiLevelType w:val="hybridMultilevel"/>
    <w:tmpl w:val="62409BE4"/>
    <w:lvl w:ilvl="0" w:tplc="130E7E4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3E7424"/>
    <w:multiLevelType w:val="hybridMultilevel"/>
    <w:tmpl w:val="15E665D0"/>
    <w:lvl w:ilvl="0" w:tplc="44665186">
      <w:start w:val="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B542CA"/>
    <w:multiLevelType w:val="hybridMultilevel"/>
    <w:tmpl w:val="E0C216A2"/>
    <w:lvl w:ilvl="0" w:tplc="04050017">
      <w:start w:val="1"/>
      <w:numFmt w:val="lowerLetter"/>
      <w:lvlText w:val="%1)"/>
      <w:lvlJc w:val="left"/>
      <w:pPr>
        <w:ind w:left="720" w:hanging="360"/>
      </w:pPr>
    </w:lvl>
    <w:lvl w:ilvl="1" w:tplc="1428A524">
      <w:start w:val="1"/>
      <w:numFmt w:val="upperLetter"/>
      <w:lvlText w:val="%2)"/>
      <w:lvlJc w:val="left"/>
      <w:pPr>
        <w:ind w:left="1440" w:hanging="360"/>
      </w:pPr>
      <w:rPr>
        <w:rFonts w:hint="default"/>
      </w:rPr>
    </w:lvl>
    <w:lvl w:ilvl="2" w:tplc="69B48122">
      <w:start w:val="1"/>
      <w:numFmt w:val="upperLetter"/>
      <w:lvlText w:val="%3."/>
      <w:lvlJc w:val="left"/>
      <w:pPr>
        <w:ind w:left="2340" w:hanging="360"/>
      </w:pPr>
      <w:rPr>
        <w:rFonts w:hint="default"/>
      </w:rPr>
    </w:lvl>
    <w:lvl w:ilvl="3" w:tplc="EC80A16A">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9D15EEE"/>
    <w:multiLevelType w:val="hybridMultilevel"/>
    <w:tmpl w:val="984E549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C0BC7612">
      <w:numFmt w:val="bullet"/>
      <w:lvlText w:val=""/>
      <w:lvlJc w:val="left"/>
      <w:pPr>
        <w:ind w:left="3600" w:hanging="360"/>
      </w:pPr>
      <w:rPr>
        <w:rFonts w:ascii="Symbol" w:eastAsiaTheme="minorHAnsi" w:hAnsi="Symbol" w:cstheme="minorBidi" w:hint="default"/>
      </w:rPr>
    </w:lvl>
    <w:lvl w:ilvl="5" w:tplc="0405001B">
      <w:start w:val="1"/>
      <w:numFmt w:val="lowerRoman"/>
      <w:lvlText w:val="%6."/>
      <w:lvlJc w:val="right"/>
      <w:pPr>
        <w:ind w:left="4320" w:hanging="180"/>
      </w:pPr>
    </w:lvl>
    <w:lvl w:ilvl="6" w:tplc="3CBEB19C">
      <w:start w:val="1"/>
      <w:numFmt w:val="lowerLetter"/>
      <w:lvlText w:val="%7)"/>
      <w:lvlJc w:val="left"/>
      <w:pPr>
        <w:ind w:left="5040" w:hanging="360"/>
      </w:pPr>
      <w:rPr>
        <w:rFonts w:hint="default"/>
      </w:r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4F0F4E"/>
    <w:multiLevelType w:val="hybridMultilevel"/>
    <w:tmpl w:val="0E3448D8"/>
    <w:lvl w:ilvl="0" w:tplc="79A6379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CE3495A"/>
    <w:multiLevelType w:val="hybridMultilevel"/>
    <w:tmpl w:val="72D846D2"/>
    <w:lvl w:ilvl="0" w:tplc="C0BC7612">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D722B1D"/>
    <w:multiLevelType w:val="hybridMultilevel"/>
    <w:tmpl w:val="70B8A678"/>
    <w:lvl w:ilvl="0" w:tplc="06BCB1AA">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F7678F6"/>
    <w:multiLevelType w:val="hybridMultilevel"/>
    <w:tmpl w:val="DCD6ACF0"/>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BB56DF"/>
    <w:multiLevelType w:val="multilevel"/>
    <w:tmpl w:val="9ACAAC14"/>
    <w:lvl w:ilvl="0">
      <w:start w:val="1"/>
      <w:numFmt w:val="decimal"/>
      <w:pStyle w:val="Nadpis1"/>
      <w:lvlText w:val="%1"/>
      <w:lvlJc w:val="left"/>
      <w:pPr>
        <w:ind w:left="715" w:hanging="432"/>
      </w:pPr>
    </w:lvl>
    <w:lvl w:ilvl="1">
      <w:start w:val="1"/>
      <w:numFmt w:val="decimal"/>
      <w:pStyle w:val="Nadpis2"/>
      <w:lvlText w:val="%1.%2"/>
      <w:lvlJc w:val="left"/>
      <w:pPr>
        <w:ind w:left="576" w:hanging="576"/>
      </w:pPr>
      <w:rPr>
        <w:color w:val="2E74B5" w:themeColor="accent1" w:themeShade="BF"/>
      </w:rPr>
    </w:lvl>
    <w:lvl w:ilvl="2">
      <w:start w:val="1"/>
      <w:numFmt w:val="decimal"/>
      <w:pStyle w:val="Nadpis3"/>
      <w:lvlText w:val="%1.%2.%3"/>
      <w:lvlJc w:val="left"/>
      <w:pPr>
        <w:ind w:left="1003" w:hanging="720"/>
      </w:pPr>
      <w:rPr>
        <w:b w:val="0"/>
        <w:bCs w:val="0"/>
        <w:color w:val="2E74B5" w:themeColor="accent1" w:themeShade="BF"/>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64997E12"/>
    <w:multiLevelType w:val="hybridMultilevel"/>
    <w:tmpl w:val="952AEA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F258AE"/>
    <w:multiLevelType w:val="hybridMultilevel"/>
    <w:tmpl w:val="0652CA70"/>
    <w:lvl w:ilvl="0" w:tplc="D09EBB40">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8271E1"/>
    <w:multiLevelType w:val="hybridMultilevel"/>
    <w:tmpl w:val="23A6F8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C42702"/>
    <w:multiLevelType w:val="hybridMultilevel"/>
    <w:tmpl w:val="22380A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495636"/>
    <w:multiLevelType w:val="hybridMultilevel"/>
    <w:tmpl w:val="BEBCDE3A"/>
    <w:lvl w:ilvl="0" w:tplc="9DB848CC">
      <w:start w:val="3"/>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3A7680"/>
    <w:multiLevelType w:val="hybridMultilevel"/>
    <w:tmpl w:val="497C735C"/>
    <w:lvl w:ilvl="0" w:tplc="F7CE2B7C">
      <w:start w:val="1"/>
      <w:numFmt w:val="lowerLetter"/>
      <w:lvlText w:val="%1)"/>
      <w:lvlJc w:val="left"/>
      <w:pPr>
        <w:ind w:left="720" w:hanging="360"/>
      </w:pPr>
      <w:rPr>
        <w:rFonts w:hint="default"/>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3E553F"/>
    <w:multiLevelType w:val="hybridMultilevel"/>
    <w:tmpl w:val="37844E78"/>
    <w:lvl w:ilvl="0" w:tplc="9942161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C3305BD"/>
    <w:multiLevelType w:val="hybridMultilevel"/>
    <w:tmpl w:val="159415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FD25D2A"/>
    <w:multiLevelType w:val="multilevel"/>
    <w:tmpl w:val="DC66B91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8069913">
    <w:abstractNumId w:val="3"/>
  </w:num>
  <w:num w:numId="2" w16cid:durableId="331224102">
    <w:abstractNumId w:val="14"/>
  </w:num>
  <w:num w:numId="3" w16cid:durableId="1206913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4870884">
    <w:abstractNumId w:val="8"/>
  </w:num>
  <w:num w:numId="5" w16cid:durableId="1526794641">
    <w:abstractNumId w:val="23"/>
  </w:num>
  <w:num w:numId="6" w16cid:durableId="774864796">
    <w:abstractNumId w:val="5"/>
  </w:num>
  <w:num w:numId="7" w16cid:durableId="1467822547">
    <w:abstractNumId w:val="15"/>
  </w:num>
  <w:num w:numId="8" w16cid:durableId="1183200771">
    <w:abstractNumId w:val="6"/>
  </w:num>
  <w:num w:numId="9" w16cid:durableId="1114207179">
    <w:abstractNumId w:val="22"/>
  </w:num>
  <w:num w:numId="10" w16cid:durableId="77487116">
    <w:abstractNumId w:val="17"/>
  </w:num>
  <w:num w:numId="11" w16cid:durableId="2055151532">
    <w:abstractNumId w:val="18"/>
  </w:num>
  <w:num w:numId="12" w16cid:durableId="780536749">
    <w:abstractNumId w:val="16"/>
  </w:num>
  <w:num w:numId="13" w16cid:durableId="527066292">
    <w:abstractNumId w:val="12"/>
  </w:num>
  <w:num w:numId="14" w16cid:durableId="1190876945">
    <w:abstractNumId w:val="19"/>
  </w:num>
  <w:num w:numId="15" w16cid:durableId="1343241560">
    <w:abstractNumId w:val="20"/>
  </w:num>
  <w:num w:numId="16" w16cid:durableId="2016569500">
    <w:abstractNumId w:val="9"/>
  </w:num>
  <w:num w:numId="17" w16cid:durableId="43261242">
    <w:abstractNumId w:val="11"/>
  </w:num>
  <w:num w:numId="18" w16cid:durableId="1275208942">
    <w:abstractNumId w:val="1"/>
  </w:num>
  <w:num w:numId="19" w16cid:durableId="1489979127">
    <w:abstractNumId w:val="2"/>
  </w:num>
  <w:num w:numId="20" w16cid:durableId="1859269751">
    <w:abstractNumId w:val="21"/>
  </w:num>
  <w:num w:numId="21" w16cid:durableId="2130582869">
    <w:abstractNumId w:val="0"/>
  </w:num>
  <w:num w:numId="22" w16cid:durableId="412708379">
    <w:abstractNumId w:val="10"/>
  </w:num>
  <w:num w:numId="23" w16cid:durableId="524944402">
    <w:abstractNumId w:val="14"/>
    <w:lvlOverride w:ilvl="0">
      <w:startOverride w:val="1"/>
    </w:lvlOverride>
  </w:num>
  <w:num w:numId="24" w16cid:durableId="290675614">
    <w:abstractNumId w:val="7"/>
  </w:num>
  <w:num w:numId="25" w16cid:durableId="1586722826">
    <w:abstractNumId w:val="13"/>
  </w:num>
  <w:num w:numId="26" w16cid:durableId="1218778757">
    <w:abstractNumId w:val="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issová Kristýna">
    <w15:presenceInfo w15:providerId="AD" w15:userId="S::kristyna.weissova@mmr.cz::40116847-0f29-4efe-a1b8-88bf96a075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hdrShapeDefaults>
    <o:shapedefaults v:ext="edit" spidmax="122885"/>
    <o:shapelayout v:ext="edit">
      <o:idmap v:ext="edit" data="120"/>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BCC"/>
    <w:rsid w:val="000000A6"/>
    <w:rsid w:val="00000751"/>
    <w:rsid w:val="00000D83"/>
    <w:rsid w:val="000112C7"/>
    <w:rsid w:val="000123B4"/>
    <w:rsid w:val="00014601"/>
    <w:rsid w:val="000148A3"/>
    <w:rsid w:val="000156BE"/>
    <w:rsid w:val="0001769A"/>
    <w:rsid w:val="00020A25"/>
    <w:rsid w:val="0002280C"/>
    <w:rsid w:val="0002328B"/>
    <w:rsid w:val="00023D35"/>
    <w:rsid w:val="0002411C"/>
    <w:rsid w:val="000253AD"/>
    <w:rsid w:val="000264FB"/>
    <w:rsid w:val="00030B8D"/>
    <w:rsid w:val="00034337"/>
    <w:rsid w:val="00036988"/>
    <w:rsid w:val="000408C9"/>
    <w:rsid w:val="0004389D"/>
    <w:rsid w:val="0004470B"/>
    <w:rsid w:val="00044A9D"/>
    <w:rsid w:val="0004505B"/>
    <w:rsid w:val="00045264"/>
    <w:rsid w:val="000507F7"/>
    <w:rsid w:val="000533C2"/>
    <w:rsid w:val="0005504E"/>
    <w:rsid w:val="00056DBA"/>
    <w:rsid w:val="00062266"/>
    <w:rsid w:val="0006294E"/>
    <w:rsid w:val="000629C3"/>
    <w:rsid w:val="0006475B"/>
    <w:rsid w:val="00065B94"/>
    <w:rsid w:val="00067290"/>
    <w:rsid w:val="00070584"/>
    <w:rsid w:val="000724A0"/>
    <w:rsid w:val="000742B5"/>
    <w:rsid w:val="00074F03"/>
    <w:rsid w:val="00075244"/>
    <w:rsid w:val="0007567E"/>
    <w:rsid w:val="00075BFE"/>
    <w:rsid w:val="0007635B"/>
    <w:rsid w:val="00076A0A"/>
    <w:rsid w:val="0008010E"/>
    <w:rsid w:val="000822E3"/>
    <w:rsid w:val="00082CE0"/>
    <w:rsid w:val="000835A8"/>
    <w:rsid w:val="00085D75"/>
    <w:rsid w:val="00086B3A"/>
    <w:rsid w:val="00090222"/>
    <w:rsid w:val="00090B03"/>
    <w:rsid w:val="00091502"/>
    <w:rsid w:val="00093014"/>
    <w:rsid w:val="00094D4F"/>
    <w:rsid w:val="000953E4"/>
    <w:rsid w:val="00096AD3"/>
    <w:rsid w:val="000A0323"/>
    <w:rsid w:val="000A0B87"/>
    <w:rsid w:val="000A1532"/>
    <w:rsid w:val="000A46CB"/>
    <w:rsid w:val="000A4DEA"/>
    <w:rsid w:val="000B02D8"/>
    <w:rsid w:val="000B04B1"/>
    <w:rsid w:val="000B151C"/>
    <w:rsid w:val="000B37A4"/>
    <w:rsid w:val="000B3F27"/>
    <w:rsid w:val="000B4501"/>
    <w:rsid w:val="000B55D4"/>
    <w:rsid w:val="000C0850"/>
    <w:rsid w:val="000C196F"/>
    <w:rsid w:val="000C50B8"/>
    <w:rsid w:val="000C58F2"/>
    <w:rsid w:val="000C64DB"/>
    <w:rsid w:val="000D09B0"/>
    <w:rsid w:val="000D0D08"/>
    <w:rsid w:val="000D364A"/>
    <w:rsid w:val="000D3E5B"/>
    <w:rsid w:val="000D403C"/>
    <w:rsid w:val="000D4449"/>
    <w:rsid w:val="000D5895"/>
    <w:rsid w:val="000D70F2"/>
    <w:rsid w:val="000D744E"/>
    <w:rsid w:val="000E439D"/>
    <w:rsid w:val="000E5335"/>
    <w:rsid w:val="000E5C06"/>
    <w:rsid w:val="000E5CAB"/>
    <w:rsid w:val="000F1E99"/>
    <w:rsid w:val="000F3AF7"/>
    <w:rsid w:val="000F4268"/>
    <w:rsid w:val="000F5DB1"/>
    <w:rsid w:val="00101565"/>
    <w:rsid w:val="0010161D"/>
    <w:rsid w:val="00103589"/>
    <w:rsid w:val="0010587F"/>
    <w:rsid w:val="001075AA"/>
    <w:rsid w:val="0011207F"/>
    <w:rsid w:val="00113212"/>
    <w:rsid w:val="00114A0D"/>
    <w:rsid w:val="0011590B"/>
    <w:rsid w:val="001205B9"/>
    <w:rsid w:val="00122AA3"/>
    <w:rsid w:val="00123A57"/>
    <w:rsid w:val="00123EC4"/>
    <w:rsid w:val="00125237"/>
    <w:rsid w:val="00126E6B"/>
    <w:rsid w:val="00127BB3"/>
    <w:rsid w:val="00127D99"/>
    <w:rsid w:val="001321AD"/>
    <w:rsid w:val="001330AA"/>
    <w:rsid w:val="00135DAF"/>
    <w:rsid w:val="001362BF"/>
    <w:rsid w:val="001363E4"/>
    <w:rsid w:val="00136B34"/>
    <w:rsid w:val="00137840"/>
    <w:rsid w:val="00137B64"/>
    <w:rsid w:val="0014131A"/>
    <w:rsid w:val="0014798B"/>
    <w:rsid w:val="00147A9A"/>
    <w:rsid w:val="001507CE"/>
    <w:rsid w:val="00152A41"/>
    <w:rsid w:val="001530EF"/>
    <w:rsid w:val="00153E03"/>
    <w:rsid w:val="001554DB"/>
    <w:rsid w:val="00155B1A"/>
    <w:rsid w:val="00155F9B"/>
    <w:rsid w:val="001560EF"/>
    <w:rsid w:val="001568F5"/>
    <w:rsid w:val="00156B4B"/>
    <w:rsid w:val="00162018"/>
    <w:rsid w:val="00163082"/>
    <w:rsid w:val="00163610"/>
    <w:rsid w:val="00163714"/>
    <w:rsid w:val="00165031"/>
    <w:rsid w:val="0016571D"/>
    <w:rsid w:val="0016729C"/>
    <w:rsid w:val="0017210E"/>
    <w:rsid w:val="00172C84"/>
    <w:rsid w:val="0017512B"/>
    <w:rsid w:val="0017596E"/>
    <w:rsid w:val="00176C42"/>
    <w:rsid w:val="0017795C"/>
    <w:rsid w:val="001802E2"/>
    <w:rsid w:val="00182174"/>
    <w:rsid w:val="00183734"/>
    <w:rsid w:val="001837C1"/>
    <w:rsid w:val="001844CF"/>
    <w:rsid w:val="00186124"/>
    <w:rsid w:val="001867B6"/>
    <w:rsid w:val="001869BA"/>
    <w:rsid w:val="001873B8"/>
    <w:rsid w:val="00187648"/>
    <w:rsid w:val="00190C15"/>
    <w:rsid w:val="001930FF"/>
    <w:rsid w:val="001935E3"/>
    <w:rsid w:val="00193878"/>
    <w:rsid w:val="00193E61"/>
    <w:rsid w:val="00194191"/>
    <w:rsid w:val="00194F7A"/>
    <w:rsid w:val="001969D7"/>
    <w:rsid w:val="001971B6"/>
    <w:rsid w:val="00197F8D"/>
    <w:rsid w:val="001A1725"/>
    <w:rsid w:val="001A1ACB"/>
    <w:rsid w:val="001A26E7"/>
    <w:rsid w:val="001A29BA"/>
    <w:rsid w:val="001A757C"/>
    <w:rsid w:val="001A7FFE"/>
    <w:rsid w:val="001B1193"/>
    <w:rsid w:val="001B4228"/>
    <w:rsid w:val="001B591F"/>
    <w:rsid w:val="001B6529"/>
    <w:rsid w:val="001C00AC"/>
    <w:rsid w:val="001C170E"/>
    <w:rsid w:val="001C1829"/>
    <w:rsid w:val="001C2A0D"/>
    <w:rsid w:val="001C3BDF"/>
    <w:rsid w:val="001C6D67"/>
    <w:rsid w:val="001C70B3"/>
    <w:rsid w:val="001D0AC9"/>
    <w:rsid w:val="001D0CFE"/>
    <w:rsid w:val="001D6026"/>
    <w:rsid w:val="001D6905"/>
    <w:rsid w:val="001E1249"/>
    <w:rsid w:val="001E1346"/>
    <w:rsid w:val="001E1AF9"/>
    <w:rsid w:val="001E206E"/>
    <w:rsid w:val="001E247A"/>
    <w:rsid w:val="001E32D2"/>
    <w:rsid w:val="001E3FD3"/>
    <w:rsid w:val="001E5665"/>
    <w:rsid w:val="001E578E"/>
    <w:rsid w:val="001F11D5"/>
    <w:rsid w:val="001F4480"/>
    <w:rsid w:val="001F5C86"/>
    <w:rsid w:val="001F6605"/>
    <w:rsid w:val="001F6E38"/>
    <w:rsid w:val="002027F6"/>
    <w:rsid w:val="002039DC"/>
    <w:rsid w:val="00204340"/>
    <w:rsid w:val="002071B6"/>
    <w:rsid w:val="0020750C"/>
    <w:rsid w:val="00207D40"/>
    <w:rsid w:val="00210980"/>
    <w:rsid w:val="002142D5"/>
    <w:rsid w:val="00214371"/>
    <w:rsid w:val="002157D5"/>
    <w:rsid w:val="00215A10"/>
    <w:rsid w:val="0021653B"/>
    <w:rsid w:val="0022007B"/>
    <w:rsid w:val="002211AB"/>
    <w:rsid w:val="00221615"/>
    <w:rsid w:val="002221BC"/>
    <w:rsid w:val="00222A7F"/>
    <w:rsid w:val="00224353"/>
    <w:rsid w:val="0022565D"/>
    <w:rsid w:val="0022681A"/>
    <w:rsid w:val="002272A8"/>
    <w:rsid w:val="002275AA"/>
    <w:rsid w:val="0022786F"/>
    <w:rsid w:val="002312E7"/>
    <w:rsid w:val="00231C95"/>
    <w:rsid w:val="00232059"/>
    <w:rsid w:val="0023245D"/>
    <w:rsid w:val="002328AD"/>
    <w:rsid w:val="002329F2"/>
    <w:rsid w:val="0023412B"/>
    <w:rsid w:val="00235924"/>
    <w:rsid w:val="002359C5"/>
    <w:rsid w:val="00235ECB"/>
    <w:rsid w:val="0023632B"/>
    <w:rsid w:val="00236A48"/>
    <w:rsid w:val="00236EA5"/>
    <w:rsid w:val="00236EE3"/>
    <w:rsid w:val="00237128"/>
    <w:rsid w:val="002376B6"/>
    <w:rsid w:val="002408AF"/>
    <w:rsid w:val="0024128E"/>
    <w:rsid w:val="00241F52"/>
    <w:rsid w:val="002456CC"/>
    <w:rsid w:val="00246C2E"/>
    <w:rsid w:val="00247DA9"/>
    <w:rsid w:val="00252782"/>
    <w:rsid w:val="00252C88"/>
    <w:rsid w:val="00253BDB"/>
    <w:rsid w:val="00255773"/>
    <w:rsid w:val="00255D0C"/>
    <w:rsid w:val="0026041A"/>
    <w:rsid w:val="0026056D"/>
    <w:rsid w:val="00263F95"/>
    <w:rsid w:val="0026452C"/>
    <w:rsid w:val="00264654"/>
    <w:rsid w:val="002646FE"/>
    <w:rsid w:val="00266BEA"/>
    <w:rsid w:val="00267943"/>
    <w:rsid w:val="0027297D"/>
    <w:rsid w:val="002735AB"/>
    <w:rsid w:val="00276812"/>
    <w:rsid w:val="00276B7C"/>
    <w:rsid w:val="0027752D"/>
    <w:rsid w:val="0028005C"/>
    <w:rsid w:val="00280302"/>
    <w:rsid w:val="0028177E"/>
    <w:rsid w:val="002823DF"/>
    <w:rsid w:val="0028289C"/>
    <w:rsid w:val="00283A04"/>
    <w:rsid w:val="00283BEB"/>
    <w:rsid w:val="00285137"/>
    <w:rsid w:val="00286F30"/>
    <w:rsid w:val="00294FC8"/>
    <w:rsid w:val="00297064"/>
    <w:rsid w:val="002A2432"/>
    <w:rsid w:val="002A58B8"/>
    <w:rsid w:val="002A78AA"/>
    <w:rsid w:val="002B4A18"/>
    <w:rsid w:val="002B6249"/>
    <w:rsid w:val="002C0E90"/>
    <w:rsid w:val="002C0FDE"/>
    <w:rsid w:val="002C1523"/>
    <w:rsid w:val="002C31C1"/>
    <w:rsid w:val="002C384D"/>
    <w:rsid w:val="002C43C6"/>
    <w:rsid w:val="002C7FD2"/>
    <w:rsid w:val="002D0A90"/>
    <w:rsid w:val="002D6957"/>
    <w:rsid w:val="002D7974"/>
    <w:rsid w:val="002D7E86"/>
    <w:rsid w:val="002E0B47"/>
    <w:rsid w:val="002E36E2"/>
    <w:rsid w:val="002E4092"/>
    <w:rsid w:val="002E523C"/>
    <w:rsid w:val="002F1945"/>
    <w:rsid w:val="002F2B19"/>
    <w:rsid w:val="002F3489"/>
    <w:rsid w:val="002F4C7D"/>
    <w:rsid w:val="00300F4C"/>
    <w:rsid w:val="00302EBE"/>
    <w:rsid w:val="00303763"/>
    <w:rsid w:val="00304EA2"/>
    <w:rsid w:val="003071B1"/>
    <w:rsid w:val="0031129C"/>
    <w:rsid w:val="00312E7D"/>
    <w:rsid w:val="003143EB"/>
    <w:rsid w:val="00314AF9"/>
    <w:rsid w:val="0031613A"/>
    <w:rsid w:val="0031750F"/>
    <w:rsid w:val="00320C18"/>
    <w:rsid w:val="003213A5"/>
    <w:rsid w:val="00321ECA"/>
    <w:rsid w:val="00323233"/>
    <w:rsid w:val="003233F7"/>
    <w:rsid w:val="00325025"/>
    <w:rsid w:val="003263C8"/>
    <w:rsid w:val="003303A5"/>
    <w:rsid w:val="00330FD7"/>
    <w:rsid w:val="0033168F"/>
    <w:rsid w:val="00332544"/>
    <w:rsid w:val="003364FA"/>
    <w:rsid w:val="00337299"/>
    <w:rsid w:val="00340015"/>
    <w:rsid w:val="00342707"/>
    <w:rsid w:val="0034397A"/>
    <w:rsid w:val="003441D4"/>
    <w:rsid w:val="0035041D"/>
    <w:rsid w:val="00351B00"/>
    <w:rsid w:val="00351F4E"/>
    <w:rsid w:val="00352865"/>
    <w:rsid w:val="00352C7F"/>
    <w:rsid w:val="003532CB"/>
    <w:rsid w:val="00353CE2"/>
    <w:rsid w:val="003566A4"/>
    <w:rsid w:val="003568C5"/>
    <w:rsid w:val="0035701B"/>
    <w:rsid w:val="00360024"/>
    <w:rsid w:val="00360144"/>
    <w:rsid w:val="00360999"/>
    <w:rsid w:val="00361EA4"/>
    <w:rsid w:val="003630F0"/>
    <w:rsid w:val="003633F2"/>
    <w:rsid w:val="00364472"/>
    <w:rsid w:val="003667BF"/>
    <w:rsid w:val="0036772B"/>
    <w:rsid w:val="00367971"/>
    <w:rsid w:val="00370D4C"/>
    <w:rsid w:val="003716AA"/>
    <w:rsid w:val="003727B5"/>
    <w:rsid w:val="00377DDE"/>
    <w:rsid w:val="00381CF1"/>
    <w:rsid w:val="00385000"/>
    <w:rsid w:val="00386139"/>
    <w:rsid w:val="0039284A"/>
    <w:rsid w:val="00396443"/>
    <w:rsid w:val="00397A8E"/>
    <w:rsid w:val="003A00F5"/>
    <w:rsid w:val="003A2FC1"/>
    <w:rsid w:val="003A3588"/>
    <w:rsid w:val="003A67BC"/>
    <w:rsid w:val="003A7172"/>
    <w:rsid w:val="003A7424"/>
    <w:rsid w:val="003B079D"/>
    <w:rsid w:val="003B34D1"/>
    <w:rsid w:val="003B3EA5"/>
    <w:rsid w:val="003B567E"/>
    <w:rsid w:val="003B58BF"/>
    <w:rsid w:val="003B685F"/>
    <w:rsid w:val="003C1A51"/>
    <w:rsid w:val="003C2981"/>
    <w:rsid w:val="003C2D6E"/>
    <w:rsid w:val="003C3C23"/>
    <w:rsid w:val="003C5161"/>
    <w:rsid w:val="003C5CD1"/>
    <w:rsid w:val="003C7466"/>
    <w:rsid w:val="003C7AD0"/>
    <w:rsid w:val="003D0FE2"/>
    <w:rsid w:val="003D18E6"/>
    <w:rsid w:val="003D1911"/>
    <w:rsid w:val="003D1968"/>
    <w:rsid w:val="003D5247"/>
    <w:rsid w:val="003D623A"/>
    <w:rsid w:val="003D660E"/>
    <w:rsid w:val="003E1720"/>
    <w:rsid w:val="003E1C41"/>
    <w:rsid w:val="003E252C"/>
    <w:rsid w:val="003E4F19"/>
    <w:rsid w:val="003E6237"/>
    <w:rsid w:val="003F2A53"/>
    <w:rsid w:val="003F2B18"/>
    <w:rsid w:val="003F2C87"/>
    <w:rsid w:val="003F2E71"/>
    <w:rsid w:val="003F56A6"/>
    <w:rsid w:val="003F5C49"/>
    <w:rsid w:val="003F640C"/>
    <w:rsid w:val="003F687B"/>
    <w:rsid w:val="003F7244"/>
    <w:rsid w:val="003F75BB"/>
    <w:rsid w:val="004009F0"/>
    <w:rsid w:val="00402CF0"/>
    <w:rsid w:val="004039E7"/>
    <w:rsid w:val="00404FCA"/>
    <w:rsid w:val="00412639"/>
    <w:rsid w:val="004136A4"/>
    <w:rsid w:val="00414178"/>
    <w:rsid w:val="004154E6"/>
    <w:rsid w:val="00416A35"/>
    <w:rsid w:val="00416EA7"/>
    <w:rsid w:val="00420043"/>
    <w:rsid w:val="0042029E"/>
    <w:rsid w:val="00420912"/>
    <w:rsid w:val="004212BE"/>
    <w:rsid w:val="004238B4"/>
    <w:rsid w:val="00423CB2"/>
    <w:rsid w:val="0042422F"/>
    <w:rsid w:val="0042435F"/>
    <w:rsid w:val="004250B4"/>
    <w:rsid w:val="004250DC"/>
    <w:rsid w:val="00425824"/>
    <w:rsid w:val="00427304"/>
    <w:rsid w:val="00430CEA"/>
    <w:rsid w:val="00432F84"/>
    <w:rsid w:val="004332B9"/>
    <w:rsid w:val="00435E3E"/>
    <w:rsid w:val="0044044D"/>
    <w:rsid w:val="00441625"/>
    <w:rsid w:val="0044176D"/>
    <w:rsid w:val="00442E6B"/>
    <w:rsid w:val="00443C64"/>
    <w:rsid w:val="00444C58"/>
    <w:rsid w:val="004470F0"/>
    <w:rsid w:val="00450B82"/>
    <w:rsid w:val="00452578"/>
    <w:rsid w:val="0045334F"/>
    <w:rsid w:val="00454D05"/>
    <w:rsid w:val="00455151"/>
    <w:rsid w:val="004557A4"/>
    <w:rsid w:val="0045723B"/>
    <w:rsid w:val="0045742B"/>
    <w:rsid w:val="00461F2F"/>
    <w:rsid w:val="00462405"/>
    <w:rsid w:val="004626C1"/>
    <w:rsid w:val="00462D0E"/>
    <w:rsid w:val="0046529A"/>
    <w:rsid w:val="00465FD4"/>
    <w:rsid w:val="00466B6F"/>
    <w:rsid w:val="00466E9A"/>
    <w:rsid w:val="00467475"/>
    <w:rsid w:val="004674EE"/>
    <w:rsid w:val="004712EB"/>
    <w:rsid w:val="004731E9"/>
    <w:rsid w:val="004741B8"/>
    <w:rsid w:val="004759FE"/>
    <w:rsid w:val="004765E1"/>
    <w:rsid w:val="00480D9F"/>
    <w:rsid w:val="00482DCD"/>
    <w:rsid w:val="00483859"/>
    <w:rsid w:val="004841AD"/>
    <w:rsid w:val="00486B08"/>
    <w:rsid w:val="00496C1F"/>
    <w:rsid w:val="00496DC0"/>
    <w:rsid w:val="0049A2C8"/>
    <w:rsid w:val="004A0025"/>
    <w:rsid w:val="004A0E82"/>
    <w:rsid w:val="004A0EF7"/>
    <w:rsid w:val="004A21AA"/>
    <w:rsid w:val="004A4722"/>
    <w:rsid w:val="004A5170"/>
    <w:rsid w:val="004A5888"/>
    <w:rsid w:val="004A73E6"/>
    <w:rsid w:val="004B01A9"/>
    <w:rsid w:val="004B3A47"/>
    <w:rsid w:val="004B3C89"/>
    <w:rsid w:val="004B4C97"/>
    <w:rsid w:val="004B4D10"/>
    <w:rsid w:val="004B5346"/>
    <w:rsid w:val="004B5CB1"/>
    <w:rsid w:val="004B5FB9"/>
    <w:rsid w:val="004B756B"/>
    <w:rsid w:val="004B762E"/>
    <w:rsid w:val="004C3289"/>
    <w:rsid w:val="004C6ED1"/>
    <w:rsid w:val="004D23E1"/>
    <w:rsid w:val="004D3BAC"/>
    <w:rsid w:val="004D6000"/>
    <w:rsid w:val="004E08CA"/>
    <w:rsid w:val="004E4F57"/>
    <w:rsid w:val="004E61BF"/>
    <w:rsid w:val="004E6DE5"/>
    <w:rsid w:val="004F393F"/>
    <w:rsid w:val="004F3EC0"/>
    <w:rsid w:val="004F5742"/>
    <w:rsid w:val="004F5ACE"/>
    <w:rsid w:val="004F668B"/>
    <w:rsid w:val="004F7E54"/>
    <w:rsid w:val="00504ABD"/>
    <w:rsid w:val="005051B4"/>
    <w:rsid w:val="0050542B"/>
    <w:rsid w:val="00505C24"/>
    <w:rsid w:val="00505F0F"/>
    <w:rsid w:val="005079AE"/>
    <w:rsid w:val="00511354"/>
    <w:rsid w:val="00511485"/>
    <w:rsid w:val="0051151D"/>
    <w:rsid w:val="00513699"/>
    <w:rsid w:val="0051456F"/>
    <w:rsid w:val="00514B07"/>
    <w:rsid w:val="00516E54"/>
    <w:rsid w:val="00516FF3"/>
    <w:rsid w:val="00517B30"/>
    <w:rsid w:val="00517BCC"/>
    <w:rsid w:val="005214DA"/>
    <w:rsid w:val="005229B6"/>
    <w:rsid w:val="00523098"/>
    <w:rsid w:val="0052460B"/>
    <w:rsid w:val="005270F9"/>
    <w:rsid w:val="005274CF"/>
    <w:rsid w:val="005307DE"/>
    <w:rsid w:val="005340E7"/>
    <w:rsid w:val="00534438"/>
    <w:rsid w:val="0053700D"/>
    <w:rsid w:val="00541D8B"/>
    <w:rsid w:val="00543459"/>
    <w:rsid w:val="00543F9B"/>
    <w:rsid w:val="00545586"/>
    <w:rsid w:val="00551741"/>
    <w:rsid w:val="00551F21"/>
    <w:rsid w:val="005571D8"/>
    <w:rsid w:val="0055735D"/>
    <w:rsid w:val="005600CB"/>
    <w:rsid w:val="005607AB"/>
    <w:rsid w:val="00560A8D"/>
    <w:rsid w:val="00560D6A"/>
    <w:rsid w:val="005620A9"/>
    <w:rsid w:val="00564738"/>
    <w:rsid w:val="00564857"/>
    <w:rsid w:val="0057029B"/>
    <w:rsid w:val="0057391B"/>
    <w:rsid w:val="0057455E"/>
    <w:rsid w:val="00574763"/>
    <w:rsid w:val="00574C55"/>
    <w:rsid w:val="00577521"/>
    <w:rsid w:val="00577C99"/>
    <w:rsid w:val="00582548"/>
    <w:rsid w:val="00582B7D"/>
    <w:rsid w:val="00590B93"/>
    <w:rsid w:val="0059113D"/>
    <w:rsid w:val="00592B02"/>
    <w:rsid w:val="00592CFF"/>
    <w:rsid w:val="00593807"/>
    <w:rsid w:val="0059506B"/>
    <w:rsid w:val="00596CB2"/>
    <w:rsid w:val="005A0163"/>
    <w:rsid w:val="005A14A3"/>
    <w:rsid w:val="005A39A5"/>
    <w:rsid w:val="005A3AF0"/>
    <w:rsid w:val="005A48F6"/>
    <w:rsid w:val="005A5FAA"/>
    <w:rsid w:val="005B25AC"/>
    <w:rsid w:val="005B4216"/>
    <w:rsid w:val="005B4582"/>
    <w:rsid w:val="005B615C"/>
    <w:rsid w:val="005B7E06"/>
    <w:rsid w:val="005C5F7C"/>
    <w:rsid w:val="005C6422"/>
    <w:rsid w:val="005C6BEA"/>
    <w:rsid w:val="005C7957"/>
    <w:rsid w:val="005D1EE4"/>
    <w:rsid w:val="005D32BE"/>
    <w:rsid w:val="005D4D4F"/>
    <w:rsid w:val="005D5595"/>
    <w:rsid w:val="005D6691"/>
    <w:rsid w:val="005D7F3B"/>
    <w:rsid w:val="005E143C"/>
    <w:rsid w:val="005E20BE"/>
    <w:rsid w:val="005E3499"/>
    <w:rsid w:val="005E3F8E"/>
    <w:rsid w:val="005E5A34"/>
    <w:rsid w:val="005F2A28"/>
    <w:rsid w:val="005F3403"/>
    <w:rsid w:val="005F3BF6"/>
    <w:rsid w:val="005F4499"/>
    <w:rsid w:val="005F49C3"/>
    <w:rsid w:val="005F4CA0"/>
    <w:rsid w:val="005F77CC"/>
    <w:rsid w:val="0060056A"/>
    <w:rsid w:val="00600938"/>
    <w:rsid w:val="00601E6D"/>
    <w:rsid w:val="006027BD"/>
    <w:rsid w:val="0060334C"/>
    <w:rsid w:val="00603FE7"/>
    <w:rsid w:val="0060502E"/>
    <w:rsid w:val="0061079D"/>
    <w:rsid w:val="0061273B"/>
    <w:rsid w:val="00612827"/>
    <w:rsid w:val="0061351A"/>
    <w:rsid w:val="006146EB"/>
    <w:rsid w:val="00614FFD"/>
    <w:rsid w:val="00616B8A"/>
    <w:rsid w:val="00621957"/>
    <w:rsid w:val="0062351A"/>
    <w:rsid w:val="006240E3"/>
    <w:rsid w:val="00624C83"/>
    <w:rsid w:val="00626F0B"/>
    <w:rsid w:val="0063033A"/>
    <w:rsid w:val="00630B04"/>
    <w:rsid w:val="0063301F"/>
    <w:rsid w:val="0063445F"/>
    <w:rsid w:val="006416D5"/>
    <w:rsid w:val="00644204"/>
    <w:rsid w:val="00644BF1"/>
    <w:rsid w:val="006459EB"/>
    <w:rsid w:val="006479F7"/>
    <w:rsid w:val="00650094"/>
    <w:rsid w:val="00650141"/>
    <w:rsid w:val="00651E5D"/>
    <w:rsid w:val="006539D8"/>
    <w:rsid w:val="00666995"/>
    <w:rsid w:val="0066782C"/>
    <w:rsid w:val="00670A6D"/>
    <w:rsid w:val="00671743"/>
    <w:rsid w:val="00672CFC"/>
    <w:rsid w:val="00673035"/>
    <w:rsid w:val="00673651"/>
    <w:rsid w:val="006737CE"/>
    <w:rsid w:val="00675E50"/>
    <w:rsid w:val="00675F28"/>
    <w:rsid w:val="0067792D"/>
    <w:rsid w:val="0068106D"/>
    <w:rsid w:val="006814A0"/>
    <w:rsid w:val="0068186B"/>
    <w:rsid w:val="00683BAA"/>
    <w:rsid w:val="006845FA"/>
    <w:rsid w:val="00684DA9"/>
    <w:rsid w:val="006868F7"/>
    <w:rsid w:val="0069063C"/>
    <w:rsid w:val="0069120A"/>
    <w:rsid w:val="00692F8D"/>
    <w:rsid w:val="006934AA"/>
    <w:rsid w:val="00694496"/>
    <w:rsid w:val="00694E23"/>
    <w:rsid w:val="00695E38"/>
    <w:rsid w:val="006966A4"/>
    <w:rsid w:val="00696F17"/>
    <w:rsid w:val="006A0B34"/>
    <w:rsid w:val="006A11C5"/>
    <w:rsid w:val="006A1F47"/>
    <w:rsid w:val="006A2E7B"/>
    <w:rsid w:val="006A301C"/>
    <w:rsid w:val="006A414C"/>
    <w:rsid w:val="006B0B0D"/>
    <w:rsid w:val="006B27AD"/>
    <w:rsid w:val="006B32DD"/>
    <w:rsid w:val="006B360B"/>
    <w:rsid w:val="006B4BBE"/>
    <w:rsid w:val="006B5681"/>
    <w:rsid w:val="006B57FD"/>
    <w:rsid w:val="006B5B59"/>
    <w:rsid w:val="006C0BAC"/>
    <w:rsid w:val="006C1C7E"/>
    <w:rsid w:val="006C1F9C"/>
    <w:rsid w:val="006C2326"/>
    <w:rsid w:val="006C30E4"/>
    <w:rsid w:val="006C4FEB"/>
    <w:rsid w:val="006C58A7"/>
    <w:rsid w:val="006C62B1"/>
    <w:rsid w:val="006D09AF"/>
    <w:rsid w:val="006D22AC"/>
    <w:rsid w:val="006D235C"/>
    <w:rsid w:val="006D2384"/>
    <w:rsid w:val="006D4186"/>
    <w:rsid w:val="006D42D9"/>
    <w:rsid w:val="006D531C"/>
    <w:rsid w:val="006D5929"/>
    <w:rsid w:val="006D5FCA"/>
    <w:rsid w:val="006E0D2D"/>
    <w:rsid w:val="006E2DCB"/>
    <w:rsid w:val="006E615D"/>
    <w:rsid w:val="006E61EB"/>
    <w:rsid w:val="006E699F"/>
    <w:rsid w:val="006F10A3"/>
    <w:rsid w:val="006F1B8D"/>
    <w:rsid w:val="006F25F8"/>
    <w:rsid w:val="006F3BD2"/>
    <w:rsid w:val="006F4C12"/>
    <w:rsid w:val="007006B2"/>
    <w:rsid w:val="00700BC1"/>
    <w:rsid w:val="0070342C"/>
    <w:rsid w:val="00704727"/>
    <w:rsid w:val="00707731"/>
    <w:rsid w:val="0071018A"/>
    <w:rsid w:val="00710FD1"/>
    <w:rsid w:val="00720427"/>
    <w:rsid w:val="007212A3"/>
    <w:rsid w:val="007218AA"/>
    <w:rsid w:val="00725992"/>
    <w:rsid w:val="00725DA4"/>
    <w:rsid w:val="0072746C"/>
    <w:rsid w:val="007275C1"/>
    <w:rsid w:val="00730593"/>
    <w:rsid w:val="00733BCC"/>
    <w:rsid w:val="00733EA7"/>
    <w:rsid w:val="0073416C"/>
    <w:rsid w:val="00736D08"/>
    <w:rsid w:val="007372A2"/>
    <w:rsid w:val="007422B1"/>
    <w:rsid w:val="00742DA2"/>
    <w:rsid w:val="00743649"/>
    <w:rsid w:val="00746191"/>
    <w:rsid w:val="00746846"/>
    <w:rsid w:val="00750E5B"/>
    <w:rsid w:val="00751E78"/>
    <w:rsid w:val="00753F84"/>
    <w:rsid w:val="00757152"/>
    <w:rsid w:val="00757177"/>
    <w:rsid w:val="007635B2"/>
    <w:rsid w:val="00763799"/>
    <w:rsid w:val="007639B2"/>
    <w:rsid w:val="0076707B"/>
    <w:rsid w:val="00767EDC"/>
    <w:rsid w:val="00771728"/>
    <w:rsid w:val="007724FA"/>
    <w:rsid w:val="00772B9F"/>
    <w:rsid w:val="00776AE3"/>
    <w:rsid w:val="00776D98"/>
    <w:rsid w:val="00780329"/>
    <w:rsid w:val="007805BE"/>
    <w:rsid w:val="00781FA9"/>
    <w:rsid w:val="00782619"/>
    <w:rsid w:val="00782AD8"/>
    <w:rsid w:val="00783170"/>
    <w:rsid w:val="00784457"/>
    <w:rsid w:val="00784827"/>
    <w:rsid w:val="00784DDD"/>
    <w:rsid w:val="00787914"/>
    <w:rsid w:val="007915A1"/>
    <w:rsid w:val="00792952"/>
    <w:rsid w:val="0079370D"/>
    <w:rsid w:val="00793CFD"/>
    <w:rsid w:val="00794B33"/>
    <w:rsid w:val="007950DD"/>
    <w:rsid w:val="00796A1A"/>
    <w:rsid w:val="007970F3"/>
    <w:rsid w:val="007A3283"/>
    <w:rsid w:val="007A3A62"/>
    <w:rsid w:val="007A3B7F"/>
    <w:rsid w:val="007A6005"/>
    <w:rsid w:val="007A68CC"/>
    <w:rsid w:val="007B2DC0"/>
    <w:rsid w:val="007B2E65"/>
    <w:rsid w:val="007B53F4"/>
    <w:rsid w:val="007B66ED"/>
    <w:rsid w:val="007B68ED"/>
    <w:rsid w:val="007C035C"/>
    <w:rsid w:val="007C26A7"/>
    <w:rsid w:val="007C5916"/>
    <w:rsid w:val="007C7F76"/>
    <w:rsid w:val="007D0A69"/>
    <w:rsid w:val="007D3294"/>
    <w:rsid w:val="007D3665"/>
    <w:rsid w:val="007D3756"/>
    <w:rsid w:val="007D49CD"/>
    <w:rsid w:val="007D6F0A"/>
    <w:rsid w:val="007E32B8"/>
    <w:rsid w:val="007E6098"/>
    <w:rsid w:val="007F00A3"/>
    <w:rsid w:val="007F11D0"/>
    <w:rsid w:val="007F25B3"/>
    <w:rsid w:val="007F27DA"/>
    <w:rsid w:val="007F67B0"/>
    <w:rsid w:val="007F7C58"/>
    <w:rsid w:val="007F7EB7"/>
    <w:rsid w:val="008000EC"/>
    <w:rsid w:val="00805F2A"/>
    <w:rsid w:val="00806663"/>
    <w:rsid w:val="008100C9"/>
    <w:rsid w:val="00810D4F"/>
    <w:rsid w:val="00811475"/>
    <w:rsid w:val="00813431"/>
    <w:rsid w:val="00814635"/>
    <w:rsid w:val="0081574E"/>
    <w:rsid w:val="00815F6E"/>
    <w:rsid w:val="00817B79"/>
    <w:rsid w:val="00820454"/>
    <w:rsid w:val="008217F7"/>
    <w:rsid w:val="008230A7"/>
    <w:rsid w:val="00823EDD"/>
    <w:rsid w:val="00824DD6"/>
    <w:rsid w:val="00825097"/>
    <w:rsid w:val="00825499"/>
    <w:rsid w:val="00831A8F"/>
    <w:rsid w:val="008376B9"/>
    <w:rsid w:val="00837A0E"/>
    <w:rsid w:val="00840572"/>
    <w:rsid w:val="00840604"/>
    <w:rsid w:val="00845B69"/>
    <w:rsid w:val="008465F0"/>
    <w:rsid w:val="008472EF"/>
    <w:rsid w:val="008473F1"/>
    <w:rsid w:val="00852E62"/>
    <w:rsid w:val="00853B51"/>
    <w:rsid w:val="00854329"/>
    <w:rsid w:val="008608E3"/>
    <w:rsid w:val="008611A0"/>
    <w:rsid w:val="0086189B"/>
    <w:rsid w:val="00862FED"/>
    <w:rsid w:val="008650B0"/>
    <w:rsid w:val="00865D1B"/>
    <w:rsid w:val="0086608C"/>
    <w:rsid w:val="00871E47"/>
    <w:rsid w:val="00872C9F"/>
    <w:rsid w:val="00874B16"/>
    <w:rsid w:val="00876810"/>
    <w:rsid w:val="00877C98"/>
    <w:rsid w:val="0088020F"/>
    <w:rsid w:val="0088280A"/>
    <w:rsid w:val="00884D1D"/>
    <w:rsid w:val="00884E23"/>
    <w:rsid w:val="008910B3"/>
    <w:rsid w:val="00892DEE"/>
    <w:rsid w:val="008939CC"/>
    <w:rsid w:val="00894795"/>
    <w:rsid w:val="008970A9"/>
    <w:rsid w:val="00897493"/>
    <w:rsid w:val="00897785"/>
    <w:rsid w:val="0089790B"/>
    <w:rsid w:val="00897BC6"/>
    <w:rsid w:val="008A2DC7"/>
    <w:rsid w:val="008A511C"/>
    <w:rsid w:val="008A6FA5"/>
    <w:rsid w:val="008B5CDD"/>
    <w:rsid w:val="008B7DF3"/>
    <w:rsid w:val="008C0420"/>
    <w:rsid w:val="008C05D0"/>
    <w:rsid w:val="008C16D8"/>
    <w:rsid w:val="008C2543"/>
    <w:rsid w:val="008C38FE"/>
    <w:rsid w:val="008C4354"/>
    <w:rsid w:val="008C4385"/>
    <w:rsid w:val="008C4D35"/>
    <w:rsid w:val="008C6932"/>
    <w:rsid w:val="008C695C"/>
    <w:rsid w:val="008C6FAA"/>
    <w:rsid w:val="008D0337"/>
    <w:rsid w:val="008D038D"/>
    <w:rsid w:val="008D14FF"/>
    <w:rsid w:val="008D36B8"/>
    <w:rsid w:val="008D5645"/>
    <w:rsid w:val="008D56DF"/>
    <w:rsid w:val="008D7B9E"/>
    <w:rsid w:val="008E0157"/>
    <w:rsid w:val="008E03A4"/>
    <w:rsid w:val="008E03D6"/>
    <w:rsid w:val="008E2813"/>
    <w:rsid w:val="008E31FE"/>
    <w:rsid w:val="008E3D0D"/>
    <w:rsid w:val="008E428F"/>
    <w:rsid w:val="008E4424"/>
    <w:rsid w:val="008E4CF9"/>
    <w:rsid w:val="008E7926"/>
    <w:rsid w:val="008E7C97"/>
    <w:rsid w:val="008F05E1"/>
    <w:rsid w:val="008F0E87"/>
    <w:rsid w:val="008F1626"/>
    <w:rsid w:val="008F1A22"/>
    <w:rsid w:val="008F2B02"/>
    <w:rsid w:val="008F32F0"/>
    <w:rsid w:val="00900454"/>
    <w:rsid w:val="0090064F"/>
    <w:rsid w:val="00901805"/>
    <w:rsid w:val="00902559"/>
    <w:rsid w:val="009055FB"/>
    <w:rsid w:val="00906016"/>
    <w:rsid w:val="00906FA9"/>
    <w:rsid w:val="00911361"/>
    <w:rsid w:val="00911DE1"/>
    <w:rsid w:val="0091213F"/>
    <w:rsid w:val="009122CE"/>
    <w:rsid w:val="0091305F"/>
    <w:rsid w:val="00913A82"/>
    <w:rsid w:val="00913F17"/>
    <w:rsid w:val="00914516"/>
    <w:rsid w:val="009162D2"/>
    <w:rsid w:val="0091657E"/>
    <w:rsid w:val="00917D48"/>
    <w:rsid w:val="009205B6"/>
    <w:rsid w:val="009210BF"/>
    <w:rsid w:val="00921C6E"/>
    <w:rsid w:val="0092295B"/>
    <w:rsid w:val="00922A80"/>
    <w:rsid w:val="00922E69"/>
    <w:rsid w:val="009253D3"/>
    <w:rsid w:val="00925653"/>
    <w:rsid w:val="00925A06"/>
    <w:rsid w:val="00925D4C"/>
    <w:rsid w:val="009315F5"/>
    <w:rsid w:val="00932C2D"/>
    <w:rsid w:val="009337D5"/>
    <w:rsid w:val="0093571D"/>
    <w:rsid w:val="009370A4"/>
    <w:rsid w:val="009370BC"/>
    <w:rsid w:val="00937B90"/>
    <w:rsid w:val="00941A54"/>
    <w:rsid w:val="00941CD4"/>
    <w:rsid w:val="00942D73"/>
    <w:rsid w:val="00950798"/>
    <w:rsid w:val="00951C37"/>
    <w:rsid w:val="00951C4A"/>
    <w:rsid w:val="00954C3D"/>
    <w:rsid w:val="00954CAA"/>
    <w:rsid w:val="00955396"/>
    <w:rsid w:val="00956806"/>
    <w:rsid w:val="00956C62"/>
    <w:rsid w:val="0096030F"/>
    <w:rsid w:val="009607E1"/>
    <w:rsid w:val="00960A08"/>
    <w:rsid w:val="009618BD"/>
    <w:rsid w:val="00961BAA"/>
    <w:rsid w:val="009630B5"/>
    <w:rsid w:val="0096519E"/>
    <w:rsid w:val="00965DB2"/>
    <w:rsid w:val="00966571"/>
    <w:rsid w:val="00970419"/>
    <w:rsid w:val="00971269"/>
    <w:rsid w:val="00971417"/>
    <w:rsid w:val="009720FB"/>
    <w:rsid w:val="0097219C"/>
    <w:rsid w:val="00973E93"/>
    <w:rsid w:val="00974EA7"/>
    <w:rsid w:val="009758D8"/>
    <w:rsid w:val="00981368"/>
    <w:rsid w:val="00981D85"/>
    <w:rsid w:val="00984C8E"/>
    <w:rsid w:val="00984EE0"/>
    <w:rsid w:val="00985F03"/>
    <w:rsid w:val="00990A75"/>
    <w:rsid w:val="009941EB"/>
    <w:rsid w:val="00995129"/>
    <w:rsid w:val="009951F2"/>
    <w:rsid w:val="00995AD3"/>
    <w:rsid w:val="009A1B81"/>
    <w:rsid w:val="009A1D0E"/>
    <w:rsid w:val="009A3863"/>
    <w:rsid w:val="009A4010"/>
    <w:rsid w:val="009A4A4E"/>
    <w:rsid w:val="009A5426"/>
    <w:rsid w:val="009A7EFF"/>
    <w:rsid w:val="009B035C"/>
    <w:rsid w:val="009B079A"/>
    <w:rsid w:val="009B0CCC"/>
    <w:rsid w:val="009B21B2"/>
    <w:rsid w:val="009B4AD2"/>
    <w:rsid w:val="009B6DF0"/>
    <w:rsid w:val="009C0FA1"/>
    <w:rsid w:val="009C1B9E"/>
    <w:rsid w:val="009C5174"/>
    <w:rsid w:val="009C5BCC"/>
    <w:rsid w:val="009C74D3"/>
    <w:rsid w:val="009C7CCA"/>
    <w:rsid w:val="009D0FB1"/>
    <w:rsid w:val="009D1B6C"/>
    <w:rsid w:val="009D2955"/>
    <w:rsid w:val="009E29D3"/>
    <w:rsid w:val="009E3261"/>
    <w:rsid w:val="009E4879"/>
    <w:rsid w:val="009E5C8D"/>
    <w:rsid w:val="009E6FC5"/>
    <w:rsid w:val="009E7051"/>
    <w:rsid w:val="009E7862"/>
    <w:rsid w:val="009F046F"/>
    <w:rsid w:val="009F2CE1"/>
    <w:rsid w:val="009F3E09"/>
    <w:rsid w:val="009F5526"/>
    <w:rsid w:val="009F64C0"/>
    <w:rsid w:val="009F7632"/>
    <w:rsid w:val="00A000E3"/>
    <w:rsid w:val="00A00C10"/>
    <w:rsid w:val="00A01AFD"/>
    <w:rsid w:val="00A04773"/>
    <w:rsid w:val="00A06949"/>
    <w:rsid w:val="00A06D87"/>
    <w:rsid w:val="00A06FE3"/>
    <w:rsid w:val="00A07C47"/>
    <w:rsid w:val="00A10C87"/>
    <w:rsid w:val="00A16FAE"/>
    <w:rsid w:val="00A170C5"/>
    <w:rsid w:val="00A22760"/>
    <w:rsid w:val="00A23720"/>
    <w:rsid w:val="00A2386C"/>
    <w:rsid w:val="00A27905"/>
    <w:rsid w:val="00A27A0C"/>
    <w:rsid w:val="00A31087"/>
    <w:rsid w:val="00A318DD"/>
    <w:rsid w:val="00A31B2F"/>
    <w:rsid w:val="00A32A7C"/>
    <w:rsid w:val="00A32CE9"/>
    <w:rsid w:val="00A34BA0"/>
    <w:rsid w:val="00A35CB2"/>
    <w:rsid w:val="00A378A8"/>
    <w:rsid w:val="00A379B7"/>
    <w:rsid w:val="00A37ACC"/>
    <w:rsid w:val="00A43A49"/>
    <w:rsid w:val="00A4568A"/>
    <w:rsid w:val="00A50145"/>
    <w:rsid w:val="00A50396"/>
    <w:rsid w:val="00A51363"/>
    <w:rsid w:val="00A51511"/>
    <w:rsid w:val="00A53AC7"/>
    <w:rsid w:val="00A55379"/>
    <w:rsid w:val="00A5778D"/>
    <w:rsid w:val="00A57AC6"/>
    <w:rsid w:val="00A60072"/>
    <w:rsid w:val="00A604C9"/>
    <w:rsid w:val="00A60CF2"/>
    <w:rsid w:val="00A61DAA"/>
    <w:rsid w:val="00A62962"/>
    <w:rsid w:val="00A630BF"/>
    <w:rsid w:val="00A65CDB"/>
    <w:rsid w:val="00A71A45"/>
    <w:rsid w:val="00A72CCA"/>
    <w:rsid w:val="00A7397B"/>
    <w:rsid w:val="00A754AC"/>
    <w:rsid w:val="00A75B69"/>
    <w:rsid w:val="00A77154"/>
    <w:rsid w:val="00A85915"/>
    <w:rsid w:val="00A8627C"/>
    <w:rsid w:val="00A86BCA"/>
    <w:rsid w:val="00A87B9E"/>
    <w:rsid w:val="00A90EC8"/>
    <w:rsid w:val="00A91EE3"/>
    <w:rsid w:val="00A926E3"/>
    <w:rsid w:val="00A94A77"/>
    <w:rsid w:val="00A94E3F"/>
    <w:rsid w:val="00A96001"/>
    <w:rsid w:val="00AA03A4"/>
    <w:rsid w:val="00AA07E5"/>
    <w:rsid w:val="00AA0A49"/>
    <w:rsid w:val="00AA3000"/>
    <w:rsid w:val="00AA72CA"/>
    <w:rsid w:val="00AA75C3"/>
    <w:rsid w:val="00AB0601"/>
    <w:rsid w:val="00AB0E89"/>
    <w:rsid w:val="00AB1CAE"/>
    <w:rsid w:val="00AB3CF1"/>
    <w:rsid w:val="00AB53F7"/>
    <w:rsid w:val="00AB5C3C"/>
    <w:rsid w:val="00AB6820"/>
    <w:rsid w:val="00AB7323"/>
    <w:rsid w:val="00AB744D"/>
    <w:rsid w:val="00AC017F"/>
    <w:rsid w:val="00AC29F7"/>
    <w:rsid w:val="00AC3818"/>
    <w:rsid w:val="00AC6282"/>
    <w:rsid w:val="00AC6C80"/>
    <w:rsid w:val="00AC7274"/>
    <w:rsid w:val="00AD01A9"/>
    <w:rsid w:val="00AD6BAC"/>
    <w:rsid w:val="00AD6ED6"/>
    <w:rsid w:val="00AD7F15"/>
    <w:rsid w:val="00AE0C42"/>
    <w:rsid w:val="00AE19BD"/>
    <w:rsid w:val="00AE3644"/>
    <w:rsid w:val="00AE3F21"/>
    <w:rsid w:val="00AE4301"/>
    <w:rsid w:val="00AE4A08"/>
    <w:rsid w:val="00AE4D87"/>
    <w:rsid w:val="00AE6A3D"/>
    <w:rsid w:val="00AF0131"/>
    <w:rsid w:val="00AF2CD4"/>
    <w:rsid w:val="00AF2DB4"/>
    <w:rsid w:val="00AF3451"/>
    <w:rsid w:val="00AF3E1D"/>
    <w:rsid w:val="00AF3F45"/>
    <w:rsid w:val="00AF4DB8"/>
    <w:rsid w:val="00AF6F32"/>
    <w:rsid w:val="00B01A9A"/>
    <w:rsid w:val="00B02011"/>
    <w:rsid w:val="00B0486F"/>
    <w:rsid w:val="00B073EA"/>
    <w:rsid w:val="00B07FCF"/>
    <w:rsid w:val="00B1458A"/>
    <w:rsid w:val="00B14A82"/>
    <w:rsid w:val="00B16C74"/>
    <w:rsid w:val="00B20F37"/>
    <w:rsid w:val="00B221B0"/>
    <w:rsid w:val="00B237B4"/>
    <w:rsid w:val="00B24D6A"/>
    <w:rsid w:val="00B26ACD"/>
    <w:rsid w:val="00B27594"/>
    <w:rsid w:val="00B30E4D"/>
    <w:rsid w:val="00B322B6"/>
    <w:rsid w:val="00B376F5"/>
    <w:rsid w:val="00B4076F"/>
    <w:rsid w:val="00B423BF"/>
    <w:rsid w:val="00B43BFB"/>
    <w:rsid w:val="00B43E01"/>
    <w:rsid w:val="00B440BD"/>
    <w:rsid w:val="00B4422A"/>
    <w:rsid w:val="00B45775"/>
    <w:rsid w:val="00B45F49"/>
    <w:rsid w:val="00B46552"/>
    <w:rsid w:val="00B47732"/>
    <w:rsid w:val="00B47BE1"/>
    <w:rsid w:val="00B50E61"/>
    <w:rsid w:val="00B514C9"/>
    <w:rsid w:val="00B519D8"/>
    <w:rsid w:val="00B52C47"/>
    <w:rsid w:val="00B543CB"/>
    <w:rsid w:val="00B5455F"/>
    <w:rsid w:val="00B55A7E"/>
    <w:rsid w:val="00B55FD2"/>
    <w:rsid w:val="00B575E7"/>
    <w:rsid w:val="00B6007F"/>
    <w:rsid w:val="00B6142D"/>
    <w:rsid w:val="00B62D3E"/>
    <w:rsid w:val="00B63096"/>
    <w:rsid w:val="00B64032"/>
    <w:rsid w:val="00B64EEE"/>
    <w:rsid w:val="00B64F50"/>
    <w:rsid w:val="00B65998"/>
    <w:rsid w:val="00B65C98"/>
    <w:rsid w:val="00B66506"/>
    <w:rsid w:val="00B6702A"/>
    <w:rsid w:val="00B67A54"/>
    <w:rsid w:val="00B70607"/>
    <w:rsid w:val="00B70D42"/>
    <w:rsid w:val="00B71BFB"/>
    <w:rsid w:val="00B7220F"/>
    <w:rsid w:val="00B734B8"/>
    <w:rsid w:val="00B73606"/>
    <w:rsid w:val="00B73630"/>
    <w:rsid w:val="00B73B00"/>
    <w:rsid w:val="00B76546"/>
    <w:rsid w:val="00B76A92"/>
    <w:rsid w:val="00B76D2B"/>
    <w:rsid w:val="00B775BE"/>
    <w:rsid w:val="00B80048"/>
    <w:rsid w:val="00B81755"/>
    <w:rsid w:val="00B82169"/>
    <w:rsid w:val="00B83985"/>
    <w:rsid w:val="00B83BB9"/>
    <w:rsid w:val="00B85376"/>
    <w:rsid w:val="00B85DCB"/>
    <w:rsid w:val="00B9026D"/>
    <w:rsid w:val="00B92C1B"/>
    <w:rsid w:val="00B935AD"/>
    <w:rsid w:val="00B97562"/>
    <w:rsid w:val="00B97ACE"/>
    <w:rsid w:val="00BA188F"/>
    <w:rsid w:val="00BA2DF2"/>
    <w:rsid w:val="00BA34D6"/>
    <w:rsid w:val="00BA5336"/>
    <w:rsid w:val="00BA5517"/>
    <w:rsid w:val="00BA614E"/>
    <w:rsid w:val="00BB2490"/>
    <w:rsid w:val="00BB29B1"/>
    <w:rsid w:val="00BB4DEF"/>
    <w:rsid w:val="00BB5390"/>
    <w:rsid w:val="00BB5A90"/>
    <w:rsid w:val="00BB6265"/>
    <w:rsid w:val="00BB6FE5"/>
    <w:rsid w:val="00BC0610"/>
    <w:rsid w:val="00BC0C05"/>
    <w:rsid w:val="00BC2282"/>
    <w:rsid w:val="00BC2FD8"/>
    <w:rsid w:val="00BC4D92"/>
    <w:rsid w:val="00BC60F8"/>
    <w:rsid w:val="00BC6499"/>
    <w:rsid w:val="00BC689B"/>
    <w:rsid w:val="00BC6DB8"/>
    <w:rsid w:val="00BD08DC"/>
    <w:rsid w:val="00BD0C77"/>
    <w:rsid w:val="00BD35FB"/>
    <w:rsid w:val="00BD393F"/>
    <w:rsid w:val="00BD53B7"/>
    <w:rsid w:val="00BD7B6B"/>
    <w:rsid w:val="00BD7BA7"/>
    <w:rsid w:val="00BD7C8E"/>
    <w:rsid w:val="00BE2297"/>
    <w:rsid w:val="00BE3567"/>
    <w:rsid w:val="00BE35B2"/>
    <w:rsid w:val="00BE3C76"/>
    <w:rsid w:val="00BE45F9"/>
    <w:rsid w:val="00BE5480"/>
    <w:rsid w:val="00BE5E43"/>
    <w:rsid w:val="00BE656D"/>
    <w:rsid w:val="00BE69AC"/>
    <w:rsid w:val="00BF15E8"/>
    <w:rsid w:val="00BF1C75"/>
    <w:rsid w:val="00BF27FC"/>
    <w:rsid w:val="00BF7FEE"/>
    <w:rsid w:val="00C00C07"/>
    <w:rsid w:val="00C00C88"/>
    <w:rsid w:val="00C030C5"/>
    <w:rsid w:val="00C04DC7"/>
    <w:rsid w:val="00C07DB2"/>
    <w:rsid w:val="00C13268"/>
    <w:rsid w:val="00C13AFB"/>
    <w:rsid w:val="00C146EB"/>
    <w:rsid w:val="00C15720"/>
    <w:rsid w:val="00C2006F"/>
    <w:rsid w:val="00C213E5"/>
    <w:rsid w:val="00C24555"/>
    <w:rsid w:val="00C253D9"/>
    <w:rsid w:val="00C255C4"/>
    <w:rsid w:val="00C25D2E"/>
    <w:rsid w:val="00C32D6C"/>
    <w:rsid w:val="00C3327B"/>
    <w:rsid w:val="00C33880"/>
    <w:rsid w:val="00C414D3"/>
    <w:rsid w:val="00C42E71"/>
    <w:rsid w:val="00C528C5"/>
    <w:rsid w:val="00C53495"/>
    <w:rsid w:val="00C54482"/>
    <w:rsid w:val="00C55760"/>
    <w:rsid w:val="00C56F26"/>
    <w:rsid w:val="00C613F2"/>
    <w:rsid w:val="00C651AA"/>
    <w:rsid w:val="00C66961"/>
    <w:rsid w:val="00C720F7"/>
    <w:rsid w:val="00C72A72"/>
    <w:rsid w:val="00C74D01"/>
    <w:rsid w:val="00C805BC"/>
    <w:rsid w:val="00C806B7"/>
    <w:rsid w:val="00C80911"/>
    <w:rsid w:val="00C84174"/>
    <w:rsid w:val="00C84493"/>
    <w:rsid w:val="00C850F2"/>
    <w:rsid w:val="00C87B62"/>
    <w:rsid w:val="00C941D7"/>
    <w:rsid w:val="00C946F3"/>
    <w:rsid w:val="00C96262"/>
    <w:rsid w:val="00C96572"/>
    <w:rsid w:val="00C96C0A"/>
    <w:rsid w:val="00C973CE"/>
    <w:rsid w:val="00CA3399"/>
    <w:rsid w:val="00CA513A"/>
    <w:rsid w:val="00CA5B21"/>
    <w:rsid w:val="00CA6263"/>
    <w:rsid w:val="00CA6F4F"/>
    <w:rsid w:val="00CA76B5"/>
    <w:rsid w:val="00CA7BBF"/>
    <w:rsid w:val="00CA7E78"/>
    <w:rsid w:val="00CB0278"/>
    <w:rsid w:val="00CB2930"/>
    <w:rsid w:val="00CB4A00"/>
    <w:rsid w:val="00CB4A67"/>
    <w:rsid w:val="00CC16DE"/>
    <w:rsid w:val="00CC3807"/>
    <w:rsid w:val="00CC5153"/>
    <w:rsid w:val="00CC5AD3"/>
    <w:rsid w:val="00CC633E"/>
    <w:rsid w:val="00CD0A3E"/>
    <w:rsid w:val="00CD1364"/>
    <w:rsid w:val="00CD1A9A"/>
    <w:rsid w:val="00CD21D1"/>
    <w:rsid w:val="00CD2A9E"/>
    <w:rsid w:val="00CD3753"/>
    <w:rsid w:val="00CD4251"/>
    <w:rsid w:val="00CD454E"/>
    <w:rsid w:val="00CD57F1"/>
    <w:rsid w:val="00CE29F7"/>
    <w:rsid w:val="00CE3BB9"/>
    <w:rsid w:val="00CE42F0"/>
    <w:rsid w:val="00CE50F0"/>
    <w:rsid w:val="00CE5855"/>
    <w:rsid w:val="00CE6DEF"/>
    <w:rsid w:val="00CE7330"/>
    <w:rsid w:val="00CE7520"/>
    <w:rsid w:val="00CF01DF"/>
    <w:rsid w:val="00CF1CC0"/>
    <w:rsid w:val="00CF423D"/>
    <w:rsid w:val="00CF62E0"/>
    <w:rsid w:val="00D01926"/>
    <w:rsid w:val="00D03EE3"/>
    <w:rsid w:val="00D075A1"/>
    <w:rsid w:val="00D07930"/>
    <w:rsid w:val="00D1013F"/>
    <w:rsid w:val="00D1128F"/>
    <w:rsid w:val="00D13206"/>
    <w:rsid w:val="00D13DEC"/>
    <w:rsid w:val="00D14C25"/>
    <w:rsid w:val="00D159E2"/>
    <w:rsid w:val="00D15CD4"/>
    <w:rsid w:val="00D15E9B"/>
    <w:rsid w:val="00D160C4"/>
    <w:rsid w:val="00D16930"/>
    <w:rsid w:val="00D1733E"/>
    <w:rsid w:val="00D17954"/>
    <w:rsid w:val="00D20356"/>
    <w:rsid w:val="00D217B3"/>
    <w:rsid w:val="00D230B2"/>
    <w:rsid w:val="00D248AB"/>
    <w:rsid w:val="00D25B49"/>
    <w:rsid w:val="00D26BC8"/>
    <w:rsid w:val="00D2729D"/>
    <w:rsid w:val="00D30727"/>
    <w:rsid w:val="00D31002"/>
    <w:rsid w:val="00D35381"/>
    <w:rsid w:val="00D37A24"/>
    <w:rsid w:val="00D41D63"/>
    <w:rsid w:val="00D41F96"/>
    <w:rsid w:val="00D435FE"/>
    <w:rsid w:val="00D45BE5"/>
    <w:rsid w:val="00D46217"/>
    <w:rsid w:val="00D47AE5"/>
    <w:rsid w:val="00D50141"/>
    <w:rsid w:val="00D52156"/>
    <w:rsid w:val="00D53AEB"/>
    <w:rsid w:val="00D5525A"/>
    <w:rsid w:val="00D57122"/>
    <w:rsid w:val="00D57630"/>
    <w:rsid w:val="00D60AEB"/>
    <w:rsid w:val="00D61A67"/>
    <w:rsid w:val="00D64704"/>
    <w:rsid w:val="00D66C9C"/>
    <w:rsid w:val="00D71B1E"/>
    <w:rsid w:val="00D72867"/>
    <w:rsid w:val="00D75B83"/>
    <w:rsid w:val="00D75D3B"/>
    <w:rsid w:val="00D75EB9"/>
    <w:rsid w:val="00D773EE"/>
    <w:rsid w:val="00D81262"/>
    <w:rsid w:val="00D83516"/>
    <w:rsid w:val="00D84868"/>
    <w:rsid w:val="00D91198"/>
    <w:rsid w:val="00D91C22"/>
    <w:rsid w:val="00D92621"/>
    <w:rsid w:val="00D9286D"/>
    <w:rsid w:val="00D92AC6"/>
    <w:rsid w:val="00D92BB1"/>
    <w:rsid w:val="00D959B2"/>
    <w:rsid w:val="00DA0B9C"/>
    <w:rsid w:val="00DA3833"/>
    <w:rsid w:val="00DA45DC"/>
    <w:rsid w:val="00DA71B2"/>
    <w:rsid w:val="00DB1FC4"/>
    <w:rsid w:val="00DB2356"/>
    <w:rsid w:val="00DB31A9"/>
    <w:rsid w:val="00DB55F4"/>
    <w:rsid w:val="00DB6673"/>
    <w:rsid w:val="00DC0711"/>
    <w:rsid w:val="00DC3FC4"/>
    <w:rsid w:val="00DC4104"/>
    <w:rsid w:val="00DC42FF"/>
    <w:rsid w:val="00DC4F65"/>
    <w:rsid w:val="00DC749B"/>
    <w:rsid w:val="00DD0094"/>
    <w:rsid w:val="00DD3CFA"/>
    <w:rsid w:val="00DD5E6F"/>
    <w:rsid w:val="00DE3075"/>
    <w:rsid w:val="00DE4FBD"/>
    <w:rsid w:val="00DE520B"/>
    <w:rsid w:val="00DE6AE2"/>
    <w:rsid w:val="00DE7396"/>
    <w:rsid w:val="00DE7999"/>
    <w:rsid w:val="00DF02AF"/>
    <w:rsid w:val="00DF07B7"/>
    <w:rsid w:val="00DF089A"/>
    <w:rsid w:val="00DF1E21"/>
    <w:rsid w:val="00DF340A"/>
    <w:rsid w:val="00DF402C"/>
    <w:rsid w:val="00DF4442"/>
    <w:rsid w:val="00DF45FA"/>
    <w:rsid w:val="00DF4A4E"/>
    <w:rsid w:val="00DF6076"/>
    <w:rsid w:val="00DF6140"/>
    <w:rsid w:val="00DF795F"/>
    <w:rsid w:val="00E00227"/>
    <w:rsid w:val="00E01088"/>
    <w:rsid w:val="00E01F1B"/>
    <w:rsid w:val="00E11041"/>
    <w:rsid w:val="00E155B4"/>
    <w:rsid w:val="00E15AFF"/>
    <w:rsid w:val="00E20658"/>
    <w:rsid w:val="00E22839"/>
    <w:rsid w:val="00E2305A"/>
    <w:rsid w:val="00E25599"/>
    <w:rsid w:val="00E27473"/>
    <w:rsid w:val="00E278D3"/>
    <w:rsid w:val="00E302E6"/>
    <w:rsid w:val="00E31F2B"/>
    <w:rsid w:val="00E3253D"/>
    <w:rsid w:val="00E32715"/>
    <w:rsid w:val="00E3296D"/>
    <w:rsid w:val="00E33424"/>
    <w:rsid w:val="00E33832"/>
    <w:rsid w:val="00E34ABE"/>
    <w:rsid w:val="00E35E61"/>
    <w:rsid w:val="00E366D6"/>
    <w:rsid w:val="00E36FCD"/>
    <w:rsid w:val="00E37EC0"/>
    <w:rsid w:val="00E41CDC"/>
    <w:rsid w:val="00E42068"/>
    <w:rsid w:val="00E44117"/>
    <w:rsid w:val="00E513AF"/>
    <w:rsid w:val="00E53771"/>
    <w:rsid w:val="00E54231"/>
    <w:rsid w:val="00E55D84"/>
    <w:rsid w:val="00E56242"/>
    <w:rsid w:val="00E567A4"/>
    <w:rsid w:val="00E5683E"/>
    <w:rsid w:val="00E56D0B"/>
    <w:rsid w:val="00E60092"/>
    <w:rsid w:val="00E6074D"/>
    <w:rsid w:val="00E61734"/>
    <w:rsid w:val="00E62D22"/>
    <w:rsid w:val="00E6537C"/>
    <w:rsid w:val="00E65FD6"/>
    <w:rsid w:val="00E66294"/>
    <w:rsid w:val="00E67E26"/>
    <w:rsid w:val="00E71FF3"/>
    <w:rsid w:val="00E75113"/>
    <w:rsid w:val="00E75275"/>
    <w:rsid w:val="00E778FF"/>
    <w:rsid w:val="00E807D9"/>
    <w:rsid w:val="00E81898"/>
    <w:rsid w:val="00E827F4"/>
    <w:rsid w:val="00E831E9"/>
    <w:rsid w:val="00E83497"/>
    <w:rsid w:val="00E83C70"/>
    <w:rsid w:val="00E84EF3"/>
    <w:rsid w:val="00E84F58"/>
    <w:rsid w:val="00E857A5"/>
    <w:rsid w:val="00E859A8"/>
    <w:rsid w:val="00E859AA"/>
    <w:rsid w:val="00E8601D"/>
    <w:rsid w:val="00E905C7"/>
    <w:rsid w:val="00E90E1B"/>
    <w:rsid w:val="00E95CC3"/>
    <w:rsid w:val="00E97239"/>
    <w:rsid w:val="00E97567"/>
    <w:rsid w:val="00EA0DC2"/>
    <w:rsid w:val="00EA1790"/>
    <w:rsid w:val="00EA2C9C"/>
    <w:rsid w:val="00EA30B8"/>
    <w:rsid w:val="00EA44C8"/>
    <w:rsid w:val="00EA4FA3"/>
    <w:rsid w:val="00EA56F5"/>
    <w:rsid w:val="00EA6E6F"/>
    <w:rsid w:val="00EA754B"/>
    <w:rsid w:val="00EB172E"/>
    <w:rsid w:val="00EB1A8F"/>
    <w:rsid w:val="00EB2110"/>
    <w:rsid w:val="00EB3CFF"/>
    <w:rsid w:val="00EC0901"/>
    <w:rsid w:val="00EC1098"/>
    <w:rsid w:val="00EC29FB"/>
    <w:rsid w:val="00EC377C"/>
    <w:rsid w:val="00EC3D10"/>
    <w:rsid w:val="00EC5C1A"/>
    <w:rsid w:val="00ED21B4"/>
    <w:rsid w:val="00ED3383"/>
    <w:rsid w:val="00ED33E0"/>
    <w:rsid w:val="00ED3EEC"/>
    <w:rsid w:val="00ED5B48"/>
    <w:rsid w:val="00EE03E9"/>
    <w:rsid w:val="00EE0F26"/>
    <w:rsid w:val="00EE1DC6"/>
    <w:rsid w:val="00EE4953"/>
    <w:rsid w:val="00EE4C43"/>
    <w:rsid w:val="00EE6960"/>
    <w:rsid w:val="00EF1321"/>
    <w:rsid w:val="00EF1B21"/>
    <w:rsid w:val="00EF1CCC"/>
    <w:rsid w:val="00EF3DF0"/>
    <w:rsid w:val="00EF4F73"/>
    <w:rsid w:val="00F00132"/>
    <w:rsid w:val="00F00CA7"/>
    <w:rsid w:val="00F01044"/>
    <w:rsid w:val="00F012E8"/>
    <w:rsid w:val="00F014B3"/>
    <w:rsid w:val="00F04985"/>
    <w:rsid w:val="00F053C4"/>
    <w:rsid w:val="00F05D33"/>
    <w:rsid w:val="00F06322"/>
    <w:rsid w:val="00F10142"/>
    <w:rsid w:val="00F13030"/>
    <w:rsid w:val="00F134B7"/>
    <w:rsid w:val="00F13770"/>
    <w:rsid w:val="00F14599"/>
    <w:rsid w:val="00F14794"/>
    <w:rsid w:val="00F152BE"/>
    <w:rsid w:val="00F1555E"/>
    <w:rsid w:val="00F1593A"/>
    <w:rsid w:val="00F166A3"/>
    <w:rsid w:val="00F16DBC"/>
    <w:rsid w:val="00F238FB"/>
    <w:rsid w:val="00F24B0E"/>
    <w:rsid w:val="00F256C1"/>
    <w:rsid w:val="00F274F0"/>
    <w:rsid w:val="00F27FE6"/>
    <w:rsid w:val="00F3379D"/>
    <w:rsid w:val="00F37833"/>
    <w:rsid w:val="00F40EEF"/>
    <w:rsid w:val="00F43CB1"/>
    <w:rsid w:val="00F444B4"/>
    <w:rsid w:val="00F46506"/>
    <w:rsid w:val="00F4678F"/>
    <w:rsid w:val="00F4768D"/>
    <w:rsid w:val="00F47A86"/>
    <w:rsid w:val="00F504A5"/>
    <w:rsid w:val="00F525AC"/>
    <w:rsid w:val="00F527FF"/>
    <w:rsid w:val="00F54AFA"/>
    <w:rsid w:val="00F54B0F"/>
    <w:rsid w:val="00F55E82"/>
    <w:rsid w:val="00F55F15"/>
    <w:rsid w:val="00F57F83"/>
    <w:rsid w:val="00F60E2A"/>
    <w:rsid w:val="00F61874"/>
    <w:rsid w:val="00F61C87"/>
    <w:rsid w:val="00F62EB7"/>
    <w:rsid w:val="00F62F3E"/>
    <w:rsid w:val="00F6563E"/>
    <w:rsid w:val="00F66003"/>
    <w:rsid w:val="00F667C5"/>
    <w:rsid w:val="00F67A35"/>
    <w:rsid w:val="00F7124E"/>
    <w:rsid w:val="00F71861"/>
    <w:rsid w:val="00F726A3"/>
    <w:rsid w:val="00F74894"/>
    <w:rsid w:val="00F75591"/>
    <w:rsid w:val="00F755F7"/>
    <w:rsid w:val="00F81137"/>
    <w:rsid w:val="00F93951"/>
    <w:rsid w:val="00F9469D"/>
    <w:rsid w:val="00F96CF5"/>
    <w:rsid w:val="00F97733"/>
    <w:rsid w:val="00FA101E"/>
    <w:rsid w:val="00FA3DDA"/>
    <w:rsid w:val="00FA4209"/>
    <w:rsid w:val="00FB193E"/>
    <w:rsid w:val="00FB397F"/>
    <w:rsid w:val="00FB3AC0"/>
    <w:rsid w:val="00FC0E96"/>
    <w:rsid w:val="00FC2483"/>
    <w:rsid w:val="00FC68C1"/>
    <w:rsid w:val="00FC73C6"/>
    <w:rsid w:val="00FC7448"/>
    <w:rsid w:val="00FD423F"/>
    <w:rsid w:val="00FD4442"/>
    <w:rsid w:val="00FD4498"/>
    <w:rsid w:val="00FD4BFC"/>
    <w:rsid w:val="00FD5728"/>
    <w:rsid w:val="00FD72AD"/>
    <w:rsid w:val="00FE2ED9"/>
    <w:rsid w:val="00FE35D9"/>
    <w:rsid w:val="00FE3EF6"/>
    <w:rsid w:val="00FE62E1"/>
    <w:rsid w:val="00FE6EFD"/>
    <w:rsid w:val="00FE7A6A"/>
    <w:rsid w:val="00FF0942"/>
    <w:rsid w:val="00FF413E"/>
    <w:rsid w:val="00FF44CB"/>
    <w:rsid w:val="00FF51DB"/>
    <w:rsid w:val="00FF52AC"/>
    <w:rsid w:val="00FF6A17"/>
    <w:rsid w:val="018F7A2C"/>
    <w:rsid w:val="01F00FDF"/>
    <w:rsid w:val="027CE29A"/>
    <w:rsid w:val="0321C3DA"/>
    <w:rsid w:val="03C4328B"/>
    <w:rsid w:val="03DA426F"/>
    <w:rsid w:val="041A8514"/>
    <w:rsid w:val="043B2EDA"/>
    <w:rsid w:val="04B54922"/>
    <w:rsid w:val="04CCB5AF"/>
    <w:rsid w:val="057D154A"/>
    <w:rsid w:val="05B66C99"/>
    <w:rsid w:val="05CC193B"/>
    <w:rsid w:val="065626BA"/>
    <w:rsid w:val="06C959F8"/>
    <w:rsid w:val="06CD50E9"/>
    <w:rsid w:val="071D6EAA"/>
    <w:rsid w:val="0729C0F2"/>
    <w:rsid w:val="07C00086"/>
    <w:rsid w:val="08A3384D"/>
    <w:rsid w:val="08FC343F"/>
    <w:rsid w:val="09578D0B"/>
    <w:rsid w:val="09737AB8"/>
    <w:rsid w:val="098B4B95"/>
    <w:rsid w:val="09B115FA"/>
    <w:rsid w:val="0A1212F0"/>
    <w:rsid w:val="0A6CD754"/>
    <w:rsid w:val="0A7AA720"/>
    <w:rsid w:val="0AE7CA19"/>
    <w:rsid w:val="0B6B4702"/>
    <w:rsid w:val="0B727D96"/>
    <w:rsid w:val="0BF363E0"/>
    <w:rsid w:val="0C167781"/>
    <w:rsid w:val="0C390B6D"/>
    <w:rsid w:val="0C8F4A42"/>
    <w:rsid w:val="0C928CC1"/>
    <w:rsid w:val="0CBDAAE8"/>
    <w:rsid w:val="0CC8A5BE"/>
    <w:rsid w:val="0CD9B7C0"/>
    <w:rsid w:val="0D61AD9C"/>
    <w:rsid w:val="0D92D33D"/>
    <w:rsid w:val="0D9D1A31"/>
    <w:rsid w:val="0DC2A0E2"/>
    <w:rsid w:val="0DF69B6E"/>
    <w:rsid w:val="0DFAE35F"/>
    <w:rsid w:val="0E142952"/>
    <w:rsid w:val="0EBB53B0"/>
    <w:rsid w:val="0EFE2046"/>
    <w:rsid w:val="0F119CA4"/>
    <w:rsid w:val="0F4248CF"/>
    <w:rsid w:val="0F589BE1"/>
    <w:rsid w:val="0F758EFB"/>
    <w:rsid w:val="0FD8482D"/>
    <w:rsid w:val="105EDB86"/>
    <w:rsid w:val="10736441"/>
    <w:rsid w:val="10A88B39"/>
    <w:rsid w:val="1103193B"/>
    <w:rsid w:val="11227941"/>
    <w:rsid w:val="120308AC"/>
    <w:rsid w:val="12255D97"/>
    <w:rsid w:val="124ED458"/>
    <w:rsid w:val="1253D6A7"/>
    <w:rsid w:val="1361D97B"/>
    <w:rsid w:val="13848496"/>
    <w:rsid w:val="1415A2FF"/>
    <w:rsid w:val="14388456"/>
    <w:rsid w:val="14558089"/>
    <w:rsid w:val="149BCDA6"/>
    <w:rsid w:val="14DE0950"/>
    <w:rsid w:val="15236F86"/>
    <w:rsid w:val="157ACD6B"/>
    <w:rsid w:val="15A40DFF"/>
    <w:rsid w:val="15B8173A"/>
    <w:rsid w:val="15BD04D0"/>
    <w:rsid w:val="16253440"/>
    <w:rsid w:val="163ED326"/>
    <w:rsid w:val="1695D8FE"/>
    <w:rsid w:val="16D3CD73"/>
    <w:rsid w:val="16E969FB"/>
    <w:rsid w:val="171ABCA0"/>
    <w:rsid w:val="1748EF0A"/>
    <w:rsid w:val="18490D99"/>
    <w:rsid w:val="18B26E2D"/>
    <w:rsid w:val="18B47400"/>
    <w:rsid w:val="19A2B1E5"/>
    <w:rsid w:val="19D0DE57"/>
    <w:rsid w:val="19D6B5FE"/>
    <w:rsid w:val="1A1D36F6"/>
    <w:rsid w:val="1A347DC3"/>
    <w:rsid w:val="1A639E30"/>
    <w:rsid w:val="1A7AC03C"/>
    <w:rsid w:val="1AEAEEC4"/>
    <w:rsid w:val="1AF38EB7"/>
    <w:rsid w:val="1B3B5970"/>
    <w:rsid w:val="1BE17707"/>
    <w:rsid w:val="1BEE8053"/>
    <w:rsid w:val="1C67AB13"/>
    <w:rsid w:val="1C695B92"/>
    <w:rsid w:val="1C8C74AE"/>
    <w:rsid w:val="1CAC8C0E"/>
    <w:rsid w:val="1D097B38"/>
    <w:rsid w:val="1D535B90"/>
    <w:rsid w:val="1D53F362"/>
    <w:rsid w:val="1D641787"/>
    <w:rsid w:val="1DA5FE38"/>
    <w:rsid w:val="1DB2D560"/>
    <w:rsid w:val="1E23616C"/>
    <w:rsid w:val="1E5B880C"/>
    <w:rsid w:val="1E66E459"/>
    <w:rsid w:val="1E86F48F"/>
    <w:rsid w:val="1EEDC3C5"/>
    <w:rsid w:val="1F0402A4"/>
    <w:rsid w:val="1F0BEA56"/>
    <w:rsid w:val="1F5FAEB0"/>
    <w:rsid w:val="1F812CAE"/>
    <w:rsid w:val="1F9F7DAB"/>
    <w:rsid w:val="1FD353F4"/>
    <w:rsid w:val="200C58A8"/>
    <w:rsid w:val="2039547C"/>
    <w:rsid w:val="204930BE"/>
    <w:rsid w:val="20E87645"/>
    <w:rsid w:val="21375E4D"/>
    <w:rsid w:val="2165CCAD"/>
    <w:rsid w:val="225DD459"/>
    <w:rsid w:val="229FEAD3"/>
    <w:rsid w:val="22E644B7"/>
    <w:rsid w:val="22EAD14D"/>
    <w:rsid w:val="22F467E6"/>
    <w:rsid w:val="24A7E46E"/>
    <w:rsid w:val="24DA0754"/>
    <w:rsid w:val="24EB8357"/>
    <w:rsid w:val="2509092A"/>
    <w:rsid w:val="25A9A560"/>
    <w:rsid w:val="25DA8845"/>
    <w:rsid w:val="26266EC3"/>
    <w:rsid w:val="2685DDE1"/>
    <w:rsid w:val="27454DA2"/>
    <w:rsid w:val="276BE222"/>
    <w:rsid w:val="27CBE699"/>
    <w:rsid w:val="27F4C8D6"/>
    <w:rsid w:val="280D2957"/>
    <w:rsid w:val="281C306D"/>
    <w:rsid w:val="2837D467"/>
    <w:rsid w:val="2887D243"/>
    <w:rsid w:val="28A49DCF"/>
    <w:rsid w:val="28BEAEEB"/>
    <w:rsid w:val="28C1386B"/>
    <w:rsid w:val="28F18954"/>
    <w:rsid w:val="295E0F85"/>
    <w:rsid w:val="2A2C19D2"/>
    <w:rsid w:val="2A57E3C5"/>
    <w:rsid w:val="2A9CD170"/>
    <w:rsid w:val="2AF3AE8A"/>
    <w:rsid w:val="2AF8E4A4"/>
    <w:rsid w:val="2B850AB3"/>
    <w:rsid w:val="2BA883DC"/>
    <w:rsid w:val="2BE04DB9"/>
    <w:rsid w:val="2BEBE8E4"/>
    <w:rsid w:val="2C106310"/>
    <w:rsid w:val="2C562B06"/>
    <w:rsid w:val="2CBAD846"/>
    <w:rsid w:val="2CC26BBD"/>
    <w:rsid w:val="2D3F470E"/>
    <w:rsid w:val="2D94F940"/>
    <w:rsid w:val="2DDEBB88"/>
    <w:rsid w:val="2DEB83DF"/>
    <w:rsid w:val="2E27D2E7"/>
    <w:rsid w:val="2E31F6AD"/>
    <w:rsid w:val="2E48D85F"/>
    <w:rsid w:val="2E736933"/>
    <w:rsid w:val="2E92CE17"/>
    <w:rsid w:val="2E977C49"/>
    <w:rsid w:val="2EB31278"/>
    <w:rsid w:val="2F238037"/>
    <w:rsid w:val="2FB53B2A"/>
    <w:rsid w:val="2FD4FB88"/>
    <w:rsid w:val="305A48AF"/>
    <w:rsid w:val="3176D47C"/>
    <w:rsid w:val="31947B05"/>
    <w:rsid w:val="319A7BF5"/>
    <w:rsid w:val="31E384CC"/>
    <w:rsid w:val="31F3093C"/>
    <w:rsid w:val="323A2BAA"/>
    <w:rsid w:val="32EE8DCD"/>
    <w:rsid w:val="32F50080"/>
    <w:rsid w:val="3312F4E7"/>
    <w:rsid w:val="3357F8A4"/>
    <w:rsid w:val="33A65A76"/>
    <w:rsid w:val="33EAEAEE"/>
    <w:rsid w:val="352004E5"/>
    <w:rsid w:val="356300FE"/>
    <w:rsid w:val="35F448CA"/>
    <w:rsid w:val="3616B6BD"/>
    <w:rsid w:val="364F3002"/>
    <w:rsid w:val="369766FB"/>
    <w:rsid w:val="36C536AD"/>
    <w:rsid w:val="36FBCF96"/>
    <w:rsid w:val="3799A55C"/>
    <w:rsid w:val="37EFFB8A"/>
    <w:rsid w:val="386D65DA"/>
    <w:rsid w:val="388C728F"/>
    <w:rsid w:val="39B3EF92"/>
    <w:rsid w:val="39FA81FE"/>
    <w:rsid w:val="3A1AB3E9"/>
    <w:rsid w:val="3A1B13A5"/>
    <w:rsid w:val="3B2D2721"/>
    <w:rsid w:val="3B7F9C19"/>
    <w:rsid w:val="3C105C0A"/>
    <w:rsid w:val="3D1550EF"/>
    <w:rsid w:val="3D2E68E7"/>
    <w:rsid w:val="3D75F9F5"/>
    <w:rsid w:val="3D8CE201"/>
    <w:rsid w:val="3E059D1A"/>
    <w:rsid w:val="3E51A9D4"/>
    <w:rsid w:val="3E644778"/>
    <w:rsid w:val="3E8E15E7"/>
    <w:rsid w:val="3EC377E0"/>
    <w:rsid w:val="3EEDDC3D"/>
    <w:rsid w:val="3EF4CF0A"/>
    <w:rsid w:val="3F4D5A77"/>
    <w:rsid w:val="3F50C124"/>
    <w:rsid w:val="3FD7102C"/>
    <w:rsid w:val="3FDF3D33"/>
    <w:rsid w:val="40F133A6"/>
    <w:rsid w:val="412E36F7"/>
    <w:rsid w:val="413F7849"/>
    <w:rsid w:val="41EEA803"/>
    <w:rsid w:val="420A899A"/>
    <w:rsid w:val="4243AACF"/>
    <w:rsid w:val="425847EA"/>
    <w:rsid w:val="425BD9E0"/>
    <w:rsid w:val="425C7256"/>
    <w:rsid w:val="426A4798"/>
    <w:rsid w:val="42B3D1E2"/>
    <w:rsid w:val="42D92736"/>
    <w:rsid w:val="43083979"/>
    <w:rsid w:val="4324FC36"/>
    <w:rsid w:val="4326201E"/>
    <w:rsid w:val="434D5FB6"/>
    <w:rsid w:val="43723EAC"/>
    <w:rsid w:val="43B8E50B"/>
    <w:rsid w:val="43EE5BF5"/>
    <w:rsid w:val="4406FDED"/>
    <w:rsid w:val="4426C1BF"/>
    <w:rsid w:val="44717F16"/>
    <w:rsid w:val="4499CB0E"/>
    <w:rsid w:val="44B68097"/>
    <w:rsid w:val="4510F8FD"/>
    <w:rsid w:val="45C2B813"/>
    <w:rsid w:val="477E96F5"/>
    <w:rsid w:val="47E6FFB1"/>
    <w:rsid w:val="47F474D9"/>
    <w:rsid w:val="483A5345"/>
    <w:rsid w:val="48C125E2"/>
    <w:rsid w:val="48E2E1DB"/>
    <w:rsid w:val="4919867F"/>
    <w:rsid w:val="493DE13C"/>
    <w:rsid w:val="498497A6"/>
    <w:rsid w:val="498A6A04"/>
    <w:rsid w:val="4A9E503A"/>
    <w:rsid w:val="4B14ECA3"/>
    <w:rsid w:val="4B1C2446"/>
    <w:rsid w:val="4B67C71B"/>
    <w:rsid w:val="4CEC58EA"/>
    <w:rsid w:val="4D302EBC"/>
    <w:rsid w:val="4D3DDCBF"/>
    <w:rsid w:val="4D46EFE9"/>
    <w:rsid w:val="4E062C73"/>
    <w:rsid w:val="4E46697E"/>
    <w:rsid w:val="4E684BDC"/>
    <w:rsid w:val="4F42A2FF"/>
    <w:rsid w:val="50C213EF"/>
    <w:rsid w:val="50EC1C6A"/>
    <w:rsid w:val="50F966C5"/>
    <w:rsid w:val="510D75A4"/>
    <w:rsid w:val="515F2BCB"/>
    <w:rsid w:val="520FD13C"/>
    <w:rsid w:val="52639976"/>
    <w:rsid w:val="532F0572"/>
    <w:rsid w:val="54023EFD"/>
    <w:rsid w:val="542C6968"/>
    <w:rsid w:val="542C8F9A"/>
    <w:rsid w:val="54622B99"/>
    <w:rsid w:val="5494F962"/>
    <w:rsid w:val="54B0C6A5"/>
    <w:rsid w:val="550618F2"/>
    <w:rsid w:val="552E7C72"/>
    <w:rsid w:val="553DC38C"/>
    <w:rsid w:val="555CAEDC"/>
    <w:rsid w:val="55F98F23"/>
    <w:rsid w:val="56194926"/>
    <w:rsid w:val="561D4737"/>
    <w:rsid w:val="564C0F7C"/>
    <w:rsid w:val="565A66EA"/>
    <w:rsid w:val="56D6116D"/>
    <w:rsid w:val="56DFEFD6"/>
    <w:rsid w:val="56E356B2"/>
    <w:rsid w:val="56F55961"/>
    <w:rsid w:val="56FADA36"/>
    <w:rsid w:val="57202D78"/>
    <w:rsid w:val="573F8518"/>
    <w:rsid w:val="584B75CC"/>
    <w:rsid w:val="586B4EAE"/>
    <w:rsid w:val="5889A10F"/>
    <w:rsid w:val="58C87A9B"/>
    <w:rsid w:val="59124AEA"/>
    <w:rsid w:val="59A2D325"/>
    <w:rsid w:val="59CA203E"/>
    <w:rsid w:val="59EB3A98"/>
    <w:rsid w:val="59ED6035"/>
    <w:rsid w:val="5A37EA4F"/>
    <w:rsid w:val="5A6F139A"/>
    <w:rsid w:val="5A6FED6D"/>
    <w:rsid w:val="5A8D3D34"/>
    <w:rsid w:val="5ADAE519"/>
    <w:rsid w:val="5B022602"/>
    <w:rsid w:val="5B0E40C3"/>
    <w:rsid w:val="5B4E7462"/>
    <w:rsid w:val="5B62E617"/>
    <w:rsid w:val="5BB99A69"/>
    <w:rsid w:val="5BFCA8B0"/>
    <w:rsid w:val="5C0CE21B"/>
    <w:rsid w:val="5CAF4348"/>
    <w:rsid w:val="5D088850"/>
    <w:rsid w:val="5D6F5D9D"/>
    <w:rsid w:val="5DBA4983"/>
    <w:rsid w:val="5DF44B92"/>
    <w:rsid w:val="5E1997D0"/>
    <w:rsid w:val="5E1E5614"/>
    <w:rsid w:val="5E60FFCD"/>
    <w:rsid w:val="5E845E6C"/>
    <w:rsid w:val="5F3FABA3"/>
    <w:rsid w:val="5F5BD1D4"/>
    <w:rsid w:val="5FD32DBC"/>
    <w:rsid w:val="5FE66D55"/>
    <w:rsid w:val="60CC6436"/>
    <w:rsid w:val="60F0A505"/>
    <w:rsid w:val="60F7CA77"/>
    <w:rsid w:val="61269718"/>
    <w:rsid w:val="6165D579"/>
    <w:rsid w:val="61E75C7F"/>
    <w:rsid w:val="628DBAA6"/>
    <w:rsid w:val="62ADFE18"/>
    <w:rsid w:val="62C0B914"/>
    <w:rsid w:val="62D9B824"/>
    <w:rsid w:val="62DD4EAC"/>
    <w:rsid w:val="6376F6D1"/>
    <w:rsid w:val="6455D9F0"/>
    <w:rsid w:val="64B9B78D"/>
    <w:rsid w:val="64DDEE94"/>
    <w:rsid w:val="64F8543A"/>
    <w:rsid w:val="650899D6"/>
    <w:rsid w:val="653B614F"/>
    <w:rsid w:val="65931848"/>
    <w:rsid w:val="6595B296"/>
    <w:rsid w:val="65B5D221"/>
    <w:rsid w:val="6664AEFE"/>
    <w:rsid w:val="6681F9BC"/>
    <w:rsid w:val="66A65E35"/>
    <w:rsid w:val="677EA978"/>
    <w:rsid w:val="6808A036"/>
    <w:rsid w:val="68201882"/>
    <w:rsid w:val="684033B4"/>
    <w:rsid w:val="688D8E53"/>
    <w:rsid w:val="68BAD67D"/>
    <w:rsid w:val="68BCE06F"/>
    <w:rsid w:val="697570FC"/>
    <w:rsid w:val="69C35C63"/>
    <w:rsid w:val="6A11D0CD"/>
    <w:rsid w:val="6A41233E"/>
    <w:rsid w:val="6AAF28D5"/>
    <w:rsid w:val="6AC475D0"/>
    <w:rsid w:val="6B0FB76E"/>
    <w:rsid w:val="6B10D354"/>
    <w:rsid w:val="6B191EAD"/>
    <w:rsid w:val="6B770F2F"/>
    <w:rsid w:val="6C3303BE"/>
    <w:rsid w:val="6C505AF3"/>
    <w:rsid w:val="6C6432A6"/>
    <w:rsid w:val="6C6B58E6"/>
    <w:rsid w:val="6CAA13A6"/>
    <w:rsid w:val="6CCC1A7D"/>
    <w:rsid w:val="6CD20E14"/>
    <w:rsid w:val="6CE5EF1A"/>
    <w:rsid w:val="6CEEAF7D"/>
    <w:rsid w:val="6D1F8D71"/>
    <w:rsid w:val="6D4A675A"/>
    <w:rsid w:val="6D9B07EB"/>
    <w:rsid w:val="6DD76856"/>
    <w:rsid w:val="6DFB672D"/>
    <w:rsid w:val="6E027CC4"/>
    <w:rsid w:val="6EAB6221"/>
    <w:rsid w:val="6EC0044E"/>
    <w:rsid w:val="6EF16207"/>
    <w:rsid w:val="6F33E00E"/>
    <w:rsid w:val="6FEAED35"/>
    <w:rsid w:val="7007AC51"/>
    <w:rsid w:val="70135B9C"/>
    <w:rsid w:val="712A16B2"/>
    <w:rsid w:val="7193F4F2"/>
    <w:rsid w:val="738C45BA"/>
    <w:rsid w:val="739A278D"/>
    <w:rsid w:val="73B16149"/>
    <w:rsid w:val="73FCA694"/>
    <w:rsid w:val="742BCE80"/>
    <w:rsid w:val="74ED2C2E"/>
    <w:rsid w:val="74FCE156"/>
    <w:rsid w:val="750FB881"/>
    <w:rsid w:val="754E8242"/>
    <w:rsid w:val="75AC51CC"/>
    <w:rsid w:val="75C667BD"/>
    <w:rsid w:val="7614D6E8"/>
    <w:rsid w:val="765C2A6E"/>
    <w:rsid w:val="7660CC0A"/>
    <w:rsid w:val="76B2A8A2"/>
    <w:rsid w:val="76B67406"/>
    <w:rsid w:val="76B98278"/>
    <w:rsid w:val="77429868"/>
    <w:rsid w:val="77892116"/>
    <w:rsid w:val="78519208"/>
    <w:rsid w:val="78D53AA2"/>
    <w:rsid w:val="78F4327C"/>
    <w:rsid w:val="78FD3CEF"/>
    <w:rsid w:val="790F6DED"/>
    <w:rsid w:val="7A2A6DF0"/>
    <w:rsid w:val="7A6E9575"/>
    <w:rsid w:val="7A8BCEDF"/>
    <w:rsid w:val="7ADC3C6B"/>
    <w:rsid w:val="7B227969"/>
    <w:rsid w:val="7BBAF106"/>
    <w:rsid w:val="7C2FBDCD"/>
    <w:rsid w:val="7C3900FE"/>
    <w:rsid w:val="7C3B637E"/>
    <w:rsid w:val="7C4DAB87"/>
    <w:rsid w:val="7CDA5566"/>
    <w:rsid w:val="7CDB8D47"/>
    <w:rsid w:val="7D41BF11"/>
    <w:rsid w:val="7D6493DC"/>
    <w:rsid w:val="7D7614A3"/>
    <w:rsid w:val="7DBEA022"/>
    <w:rsid w:val="7E017FED"/>
    <w:rsid w:val="7E50E20A"/>
    <w:rsid w:val="7EFF50E5"/>
    <w:rsid w:val="7F1BD8E3"/>
    <w:rsid w:val="7F1D3721"/>
    <w:rsid w:val="7FE8D302"/>
    <w:rsid w:val="7FF5953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85"/>
    <o:shapelayout v:ext="edit">
      <o:idmap v:ext="edit" data="1"/>
    </o:shapelayout>
  </w:shapeDefaults>
  <w:decimalSymbol w:val=","/>
  <w:listSeparator w:val=";"/>
  <w14:docId w14:val="0611CF5F"/>
  <w15:chartTrackingRefBased/>
  <w15:docId w15:val="{4D327EDD-3C25-4F56-B899-0D5ACA24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5396"/>
    <w:rPr>
      <w:rFonts w:ascii="Arial" w:hAnsi="Arial"/>
      <w:sz w:val="20"/>
    </w:rPr>
  </w:style>
  <w:style w:type="paragraph" w:styleId="Nadpis1">
    <w:name w:val="heading 1"/>
    <w:basedOn w:val="Normln"/>
    <w:next w:val="Normln"/>
    <w:link w:val="Nadpis1Char"/>
    <w:uiPriority w:val="9"/>
    <w:qFormat/>
    <w:rsid w:val="00955396"/>
    <w:pPr>
      <w:keepNext/>
      <w:keepLines/>
      <w:numPr>
        <w:numId w:val="2"/>
      </w:numPr>
      <w:spacing w:before="240" w:after="0"/>
      <w:outlineLvl w:val="0"/>
    </w:pPr>
    <w:rPr>
      <w:rFonts w:eastAsiaTheme="majorEastAsia" w:cstheme="majorBidi"/>
      <w:color w:val="2E74B5" w:themeColor="accent1" w:themeShade="BF"/>
      <w:sz w:val="32"/>
      <w:szCs w:val="32"/>
    </w:rPr>
  </w:style>
  <w:style w:type="paragraph" w:styleId="Nadpis2">
    <w:name w:val="heading 2"/>
    <w:basedOn w:val="Normln"/>
    <w:next w:val="Normln"/>
    <w:link w:val="Nadpis2Char"/>
    <w:uiPriority w:val="9"/>
    <w:unhideWhenUsed/>
    <w:qFormat/>
    <w:rsid w:val="00955396"/>
    <w:pPr>
      <w:keepNext/>
      <w:keepLines/>
      <w:numPr>
        <w:ilvl w:val="1"/>
        <w:numId w:val="2"/>
      </w:numPr>
      <w:spacing w:before="40" w:after="0"/>
      <w:outlineLvl w:val="1"/>
    </w:pPr>
    <w:rPr>
      <w:rFonts w:eastAsiaTheme="majorEastAsia" w:cstheme="majorBidi"/>
      <w:color w:val="2E74B5" w:themeColor="accent1" w:themeShade="BF"/>
      <w:sz w:val="26"/>
      <w:szCs w:val="26"/>
    </w:rPr>
  </w:style>
  <w:style w:type="paragraph" w:styleId="Nadpis3">
    <w:name w:val="heading 3"/>
    <w:basedOn w:val="Normln"/>
    <w:next w:val="Normln"/>
    <w:link w:val="Nadpis3Char"/>
    <w:uiPriority w:val="9"/>
    <w:unhideWhenUsed/>
    <w:qFormat/>
    <w:rsid w:val="007006B2"/>
    <w:pPr>
      <w:keepNext/>
      <w:keepLines/>
      <w:numPr>
        <w:ilvl w:val="2"/>
        <w:numId w:val="2"/>
      </w:numPr>
      <w:spacing w:before="40" w:after="0"/>
      <w:outlineLvl w:val="2"/>
    </w:pPr>
    <w:rPr>
      <w:rFonts w:eastAsiaTheme="majorEastAsia" w:cstheme="majorBidi"/>
      <w:color w:val="2E74B5" w:themeColor="accent1" w:themeShade="BF"/>
      <w:sz w:val="24"/>
      <w:szCs w:val="24"/>
    </w:rPr>
  </w:style>
  <w:style w:type="paragraph" w:styleId="Nadpis4">
    <w:name w:val="heading 4"/>
    <w:basedOn w:val="Normln"/>
    <w:next w:val="Normln"/>
    <w:link w:val="Nadpis4Char"/>
    <w:uiPriority w:val="9"/>
    <w:unhideWhenUsed/>
    <w:qFormat/>
    <w:rsid w:val="00B65C98"/>
    <w:pPr>
      <w:keepNext/>
      <w:keepLines/>
      <w:numPr>
        <w:ilvl w:val="3"/>
        <w:numId w:val="2"/>
      </w:numPr>
      <w:spacing w:before="40" w:after="0" w:line="276" w:lineRule="auto"/>
      <w:outlineLvl w:val="3"/>
    </w:pPr>
    <w:rPr>
      <w:rFonts w:asciiTheme="majorHAnsi" w:eastAsiaTheme="majorEastAsia" w:hAnsiTheme="majorHAnsi" w:cstheme="majorBidi"/>
      <w:i/>
      <w:iCs/>
      <w:color w:val="2E74B5" w:themeColor="accent1" w:themeShade="BF"/>
      <w:sz w:val="22"/>
    </w:rPr>
  </w:style>
  <w:style w:type="paragraph" w:styleId="Nadpis5">
    <w:name w:val="heading 5"/>
    <w:basedOn w:val="Normln"/>
    <w:next w:val="Normln"/>
    <w:link w:val="Nadpis5Char"/>
    <w:uiPriority w:val="9"/>
    <w:semiHidden/>
    <w:unhideWhenUsed/>
    <w:qFormat/>
    <w:rsid w:val="00B65C98"/>
    <w:pPr>
      <w:keepNext/>
      <w:keepLines/>
      <w:numPr>
        <w:ilvl w:val="4"/>
        <w:numId w:val="2"/>
      </w:numPr>
      <w:spacing w:before="40" w:after="0" w:line="276" w:lineRule="auto"/>
      <w:outlineLvl w:val="4"/>
    </w:pPr>
    <w:rPr>
      <w:rFonts w:asciiTheme="majorHAnsi" w:eastAsiaTheme="majorEastAsia" w:hAnsiTheme="majorHAnsi" w:cstheme="majorBidi"/>
      <w:color w:val="2E74B5" w:themeColor="accent1" w:themeShade="BF"/>
      <w:sz w:val="22"/>
    </w:rPr>
  </w:style>
  <w:style w:type="paragraph" w:styleId="Nadpis6">
    <w:name w:val="heading 6"/>
    <w:basedOn w:val="Normln"/>
    <w:next w:val="Normln"/>
    <w:link w:val="Nadpis6Char"/>
    <w:uiPriority w:val="9"/>
    <w:semiHidden/>
    <w:unhideWhenUsed/>
    <w:qFormat/>
    <w:rsid w:val="00B65C98"/>
    <w:pPr>
      <w:keepNext/>
      <w:keepLines/>
      <w:numPr>
        <w:ilvl w:val="5"/>
        <w:numId w:val="2"/>
      </w:numPr>
      <w:spacing w:before="40" w:after="0" w:line="276" w:lineRule="auto"/>
      <w:outlineLvl w:val="5"/>
    </w:pPr>
    <w:rPr>
      <w:rFonts w:asciiTheme="majorHAnsi" w:eastAsiaTheme="majorEastAsia" w:hAnsiTheme="majorHAnsi" w:cstheme="majorBidi"/>
      <w:color w:val="1F4D78" w:themeColor="accent1" w:themeShade="7F"/>
      <w:sz w:val="22"/>
    </w:rPr>
  </w:style>
  <w:style w:type="paragraph" w:styleId="Nadpis7">
    <w:name w:val="heading 7"/>
    <w:basedOn w:val="Normln"/>
    <w:next w:val="Normln"/>
    <w:link w:val="Nadpis7Char"/>
    <w:uiPriority w:val="9"/>
    <w:semiHidden/>
    <w:unhideWhenUsed/>
    <w:qFormat/>
    <w:rsid w:val="00B65C98"/>
    <w:pPr>
      <w:keepNext/>
      <w:keepLines/>
      <w:numPr>
        <w:ilvl w:val="6"/>
        <w:numId w:val="2"/>
      </w:numPr>
      <w:spacing w:before="40" w:after="0" w:line="276" w:lineRule="auto"/>
      <w:outlineLvl w:val="6"/>
    </w:pPr>
    <w:rPr>
      <w:rFonts w:asciiTheme="majorHAnsi" w:eastAsiaTheme="majorEastAsia" w:hAnsiTheme="majorHAnsi" w:cstheme="majorBidi"/>
      <w:i/>
      <w:iCs/>
      <w:color w:val="1F4D78" w:themeColor="accent1" w:themeShade="7F"/>
      <w:sz w:val="22"/>
    </w:rPr>
  </w:style>
  <w:style w:type="paragraph" w:styleId="Nadpis8">
    <w:name w:val="heading 8"/>
    <w:basedOn w:val="Normln"/>
    <w:next w:val="Normln"/>
    <w:link w:val="Nadpis8Char"/>
    <w:uiPriority w:val="9"/>
    <w:semiHidden/>
    <w:unhideWhenUsed/>
    <w:qFormat/>
    <w:rsid w:val="00B65C98"/>
    <w:pPr>
      <w:keepNext/>
      <w:keepLines/>
      <w:numPr>
        <w:ilvl w:val="7"/>
        <w:numId w:val="2"/>
      </w:numPr>
      <w:spacing w:before="40" w:after="0" w:line="276"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65C98"/>
    <w:pPr>
      <w:keepNext/>
      <w:keepLines/>
      <w:numPr>
        <w:ilvl w:val="8"/>
        <w:numId w:val="2"/>
      </w:numPr>
      <w:spacing w:before="40" w:after="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5396"/>
    <w:rPr>
      <w:rFonts w:ascii="Arial" w:eastAsiaTheme="majorEastAsia" w:hAnsi="Arial" w:cstheme="majorBidi"/>
      <w:color w:val="2E74B5" w:themeColor="accent1" w:themeShade="BF"/>
      <w:sz w:val="32"/>
      <w:szCs w:val="32"/>
    </w:rPr>
  </w:style>
  <w:style w:type="character" w:customStyle="1" w:styleId="Nadpis2Char">
    <w:name w:val="Nadpis 2 Char"/>
    <w:basedOn w:val="Standardnpsmoodstavce"/>
    <w:link w:val="Nadpis2"/>
    <w:uiPriority w:val="9"/>
    <w:rsid w:val="00955396"/>
    <w:rPr>
      <w:rFonts w:ascii="Arial" w:eastAsiaTheme="majorEastAsia" w:hAnsi="Arial" w:cstheme="majorBidi"/>
      <w:color w:val="2E74B5" w:themeColor="accent1" w:themeShade="BF"/>
      <w:sz w:val="26"/>
      <w:szCs w:val="26"/>
    </w:rPr>
  </w:style>
  <w:style w:type="character" w:customStyle="1" w:styleId="Nadpis3Char">
    <w:name w:val="Nadpis 3 Char"/>
    <w:basedOn w:val="Standardnpsmoodstavce"/>
    <w:link w:val="Nadpis3"/>
    <w:uiPriority w:val="9"/>
    <w:rsid w:val="007006B2"/>
    <w:rPr>
      <w:rFonts w:ascii="Arial" w:eastAsiaTheme="majorEastAsia" w:hAnsi="Arial" w:cstheme="majorBidi"/>
      <w:color w:val="2E74B5" w:themeColor="accent1" w:themeShade="BF"/>
      <w:sz w:val="24"/>
      <w:szCs w:val="24"/>
    </w:rPr>
  </w:style>
  <w:style w:type="character" w:customStyle="1" w:styleId="Nadpis4Char">
    <w:name w:val="Nadpis 4 Char"/>
    <w:basedOn w:val="Standardnpsmoodstavce"/>
    <w:link w:val="Nadpis4"/>
    <w:uiPriority w:val="9"/>
    <w:rsid w:val="00B65C98"/>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B65C98"/>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B65C98"/>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B65C98"/>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B65C98"/>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65C98"/>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955396"/>
    <w:pPr>
      <w:spacing w:after="0" w:line="240" w:lineRule="auto"/>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955396"/>
    <w:rPr>
      <w:rFonts w:ascii="Arial" w:eastAsiaTheme="majorEastAsia" w:hAnsi="Arial" w:cstheme="majorBidi"/>
      <w:spacing w:val="-10"/>
      <w:kern w:val="28"/>
      <w:sz w:val="56"/>
      <w:szCs w:val="56"/>
    </w:rPr>
  </w:style>
  <w:style w:type="paragraph" w:styleId="Podnadpis">
    <w:name w:val="Subtitle"/>
    <w:basedOn w:val="Normln"/>
    <w:next w:val="Normln"/>
    <w:link w:val="PodnadpisChar"/>
    <w:uiPriority w:val="11"/>
    <w:qFormat/>
    <w:rsid w:val="00955396"/>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955396"/>
    <w:rPr>
      <w:rFonts w:ascii="Arial" w:eastAsiaTheme="minorEastAsia" w:hAnsi="Arial"/>
      <w:color w:val="5A5A5A" w:themeColor="text1" w:themeTint="A5"/>
      <w:spacing w:val="15"/>
    </w:rPr>
  </w:style>
  <w:style w:type="paragraph" w:styleId="Bezmezer">
    <w:name w:val="No Spacing"/>
    <w:uiPriority w:val="1"/>
    <w:qFormat/>
    <w:rsid w:val="00955396"/>
    <w:pPr>
      <w:spacing w:after="0" w:line="240" w:lineRule="auto"/>
    </w:pPr>
    <w:rPr>
      <w:rFonts w:ascii="Arial" w:hAnsi="Arial"/>
      <w:sz w:val="20"/>
    </w:rPr>
  </w:style>
  <w:style w:type="paragraph" w:styleId="Odstavecseseznamem">
    <w:name w:val="List Paragraph"/>
    <w:aliases w:val="Odstavec_muj,Nad,Odstavec_muj1,Odstavec_muj2,Odstavec_muj3,Nad1,List Paragraph1,Odstavec_muj4,Nad2,List Paragraph2,Odstavec_muj5,Odstavec_muj6,Odstavec_muj7,Odstavec_muj8,Odstavec_muj9,Odstavec_muj10,Odstavec_muj11,List Paragraph"/>
    <w:basedOn w:val="Normln"/>
    <w:link w:val="OdstavecseseznamemChar"/>
    <w:uiPriority w:val="34"/>
    <w:qFormat/>
    <w:rsid w:val="000953E4"/>
    <w:pPr>
      <w:ind w:left="720"/>
      <w:contextualSpacing/>
    </w:pPr>
  </w:style>
  <w:style w:type="character" w:customStyle="1" w:styleId="OdstavecseseznamemChar">
    <w:name w:val="Odstavec se seznamem Char"/>
    <w:aliases w:val="Odstavec_muj Char,Nad Char,Odstavec_muj1 Char,Odstavec_muj2 Char,Odstavec_muj3 Char,Nad1 Char,List Paragraph1 Char,Odstavec_muj4 Char,Nad2 Char,List Paragraph2 Char,Odstavec_muj5 Char,Odstavec_muj6 Char,Odstavec_muj7 Char"/>
    <w:basedOn w:val="Standardnpsmoodstavce"/>
    <w:link w:val="Odstavecseseznamem"/>
    <w:uiPriority w:val="34"/>
    <w:rsid w:val="00B65C98"/>
    <w:rPr>
      <w:rFonts w:ascii="Arial" w:hAnsi="Arial"/>
      <w:sz w:val="20"/>
    </w:rPr>
  </w:style>
  <w:style w:type="character" w:styleId="Odkaznakoment">
    <w:name w:val="annotation reference"/>
    <w:basedOn w:val="Standardnpsmoodstavce"/>
    <w:uiPriority w:val="99"/>
    <w:semiHidden/>
    <w:unhideWhenUsed/>
    <w:rsid w:val="00590B93"/>
    <w:rPr>
      <w:sz w:val="16"/>
      <w:szCs w:val="16"/>
    </w:rPr>
  </w:style>
  <w:style w:type="paragraph" w:styleId="Textkomente">
    <w:name w:val="annotation text"/>
    <w:basedOn w:val="Normln"/>
    <w:link w:val="TextkomenteChar"/>
    <w:uiPriority w:val="99"/>
    <w:unhideWhenUsed/>
    <w:rsid w:val="00590B93"/>
    <w:pPr>
      <w:spacing w:line="240" w:lineRule="auto"/>
    </w:pPr>
    <w:rPr>
      <w:szCs w:val="20"/>
    </w:rPr>
  </w:style>
  <w:style w:type="character" w:customStyle="1" w:styleId="TextkomenteChar">
    <w:name w:val="Text komentáře Char"/>
    <w:basedOn w:val="Standardnpsmoodstavce"/>
    <w:link w:val="Textkomente"/>
    <w:uiPriority w:val="99"/>
    <w:rsid w:val="00590B93"/>
    <w:rPr>
      <w:rFonts w:ascii="Arial" w:hAnsi="Arial"/>
      <w:sz w:val="20"/>
      <w:szCs w:val="20"/>
    </w:rPr>
  </w:style>
  <w:style w:type="paragraph" w:styleId="Pedmtkomente">
    <w:name w:val="annotation subject"/>
    <w:basedOn w:val="Textkomente"/>
    <w:next w:val="Textkomente"/>
    <w:link w:val="PedmtkomenteChar"/>
    <w:uiPriority w:val="99"/>
    <w:semiHidden/>
    <w:unhideWhenUsed/>
    <w:rsid w:val="00590B93"/>
    <w:rPr>
      <w:b/>
      <w:bCs/>
    </w:rPr>
  </w:style>
  <w:style w:type="character" w:customStyle="1" w:styleId="PedmtkomenteChar">
    <w:name w:val="Předmět komentáře Char"/>
    <w:basedOn w:val="TextkomenteChar"/>
    <w:link w:val="Pedmtkomente"/>
    <w:uiPriority w:val="99"/>
    <w:semiHidden/>
    <w:rsid w:val="00590B93"/>
    <w:rPr>
      <w:rFonts w:ascii="Arial" w:hAnsi="Arial"/>
      <w:b/>
      <w:bCs/>
      <w:sz w:val="20"/>
      <w:szCs w:val="20"/>
    </w:rPr>
  </w:style>
  <w:style w:type="paragraph" w:styleId="Textbubliny">
    <w:name w:val="Balloon Text"/>
    <w:basedOn w:val="Normln"/>
    <w:link w:val="TextbublinyChar"/>
    <w:uiPriority w:val="99"/>
    <w:semiHidden/>
    <w:unhideWhenUsed/>
    <w:rsid w:val="00590B9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0B93"/>
    <w:rPr>
      <w:rFonts w:ascii="Segoe UI" w:hAnsi="Segoe UI" w:cs="Segoe UI"/>
      <w:sz w:val="18"/>
      <w:szCs w:val="18"/>
    </w:rPr>
  </w:style>
  <w:style w:type="paragraph" w:styleId="Zhlav">
    <w:name w:val="header"/>
    <w:basedOn w:val="Normln"/>
    <w:link w:val="ZhlavChar"/>
    <w:uiPriority w:val="99"/>
    <w:unhideWhenUsed/>
    <w:rsid w:val="0045257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2578"/>
    <w:rPr>
      <w:rFonts w:ascii="Arial" w:hAnsi="Arial"/>
      <w:sz w:val="20"/>
    </w:rPr>
  </w:style>
  <w:style w:type="paragraph" w:styleId="Zpat">
    <w:name w:val="footer"/>
    <w:basedOn w:val="Normln"/>
    <w:link w:val="ZpatChar"/>
    <w:uiPriority w:val="99"/>
    <w:unhideWhenUsed/>
    <w:rsid w:val="00452578"/>
    <w:pPr>
      <w:tabs>
        <w:tab w:val="center" w:pos="4536"/>
        <w:tab w:val="right" w:pos="9072"/>
      </w:tabs>
      <w:spacing w:after="0" w:line="240" w:lineRule="auto"/>
    </w:pPr>
  </w:style>
  <w:style w:type="character" w:customStyle="1" w:styleId="ZpatChar">
    <w:name w:val="Zápatí Char"/>
    <w:basedOn w:val="Standardnpsmoodstavce"/>
    <w:link w:val="Zpat"/>
    <w:uiPriority w:val="99"/>
    <w:rsid w:val="00452578"/>
    <w:rPr>
      <w:rFonts w:ascii="Arial" w:hAnsi="Arial"/>
      <w:sz w:val="20"/>
    </w:rPr>
  </w:style>
  <w:style w:type="character" w:styleId="Hypertextovodkaz">
    <w:name w:val="Hyperlink"/>
    <w:basedOn w:val="Standardnpsmoodstavce"/>
    <w:uiPriority w:val="99"/>
    <w:unhideWhenUsed/>
    <w:rsid w:val="00452578"/>
    <w:rPr>
      <w:color w:val="0563C1" w:themeColor="hyperlink"/>
      <w:u w:val="single"/>
    </w:rPr>
  </w:style>
  <w:style w:type="paragraph" w:customStyle="1" w:styleId="xmsonormal">
    <w:name w:val="x_msonormal"/>
    <w:basedOn w:val="Normln"/>
    <w:rsid w:val="00B65C9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B65C98"/>
  </w:style>
  <w:style w:type="paragraph" w:styleId="Normlnweb">
    <w:name w:val="Normal (Web)"/>
    <w:basedOn w:val="Normln"/>
    <w:uiPriority w:val="99"/>
    <w:unhideWhenUsed/>
    <w:rsid w:val="00B65C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65C98"/>
    <w:pPr>
      <w:autoSpaceDE w:val="0"/>
      <w:autoSpaceDN w:val="0"/>
      <w:adjustRightInd w:val="0"/>
      <w:spacing w:after="0" w:line="240" w:lineRule="auto"/>
    </w:pPr>
    <w:rPr>
      <w:rFonts w:ascii="Calibri" w:hAnsi="Calibri" w:cs="Calibri"/>
      <w:color w:val="000000"/>
      <w:sz w:val="24"/>
      <w:szCs w:val="24"/>
    </w:rPr>
  </w:style>
  <w:style w:type="character" w:customStyle="1" w:styleId="Styl1-NzevmateriluChar">
    <w:name w:val="Styl1 - Název materiálu Char"/>
    <w:link w:val="Styl1-Nzevmaterilu"/>
    <w:locked/>
    <w:rsid w:val="00B65C98"/>
    <w:rPr>
      <w:rFonts w:ascii="Arial" w:hAnsi="Arial" w:cs="Arial"/>
      <w:b/>
      <w:noProof/>
      <w:szCs w:val="24"/>
    </w:rPr>
  </w:style>
  <w:style w:type="paragraph" w:customStyle="1" w:styleId="Styl1-Nzevmaterilu">
    <w:name w:val="Styl1 - Název materiálu"/>
    <w:basedOn w:val="Normln"/>
    <w:link w:val="Styl1-NzevmateriluChar"/>
    <w:qFormat/>
    <w:rsid w:val="00B65C98"/>
    <w:pPr>
      <w:overflowPunct w:val="0"/>
      <w:autoSpaceDE w:val="0"/>
      <w:autoSpaceDN w:val="0"/>
      <w:adjustRightInd w:val="0"/>
      <w:spacing w:after="0" w:line="240" w:lineRule="auto"/>
      <w:jc w:val="center"/>
    </w:pPr>
    <w:rPr>
      <w:rFonts w:cs="Arial"/>
      <w:b/>
      <w:noProof/>
      <w:sz w:val="22"/>
      <w:szCs w:val="24"/>
    </w:rPr>
  </w:style>
  <w:style w:type="paragraph" w:styleId="Nadpisobsahu">
    <w:name w:val="TOC Heading"/>
    <w:basedOn w:val="Nadpis1"/>
    <w:next w:val="Normln"/>
    <w:uiPriority w:val="39"/>
    <w:unhideWhenUsed/>
    <w:qFormat/>
    <w:rsid w:val="00B65C98"/>
    <w:pPr>
      <w:outlineLvl w:val="9"/>
    </w:pPr>
    <w:rPr>
      <w:rFonts w:asciiTheme="majorHAnsi" w:hAnsiTheme="majorHAnsi"/>
      <w:lang w:eastAsia="cs-CZ"/>
    </w:rPr>
  </w:style>
  <w:style w:type="paragraph" w:styleId="Obsah1">
    <w:name w:val="toc 1"/>
    <w:basedOn w:val="Normln"/>
    <w:next w:val="Normln"/>
    <w:autoRedefine/>
    <w:uiPriority w:val="39"/>
    <w:unhideWhenUsed/>
    <w:rsid w:val="00302EBE"/>
    <w:pPr>
      <w:tabs>
        <w:tab w:val="left" w:pos="440"/>
        <w:tab w:val="right" w:leader="dot" w:pos="9062"/>
      </w:tabs>
      <w:spacing w:after="100" w:line="276" w:lineRule="auto"/>
    </w:pPr>
    <w:rPr>
      <w:rFonts w:asciiTheme="minorHAnsi" w:hAnsiTheme="minorHAnsi"/>
      <w:b/>
      <w:sz w:val="22"/>
    </w:rPr>
  </w:style>
  <w:style w:type="paragraph" w:styleId="Obsah2">
    <w:name w:val="toc 2"/>
    <w:basedOn w:val="Normln"/>
    <w:next w:val="Normln"/>
    <w:autoRedefine/>
    <w:uiPriority w:val="39"/>
    <w:unhideWhenUsed/>
    <w:rsid w:val="00B65C98"/>
    <w:pPr>
      <w:spacing w:after="100" w:line="276" w:lineRule="auto"/>
      <w:ind w:left="220"/>
    </w:pPr>
    <w:rPr>
      <w:rFonts w:asciiTheme="minorHAnsi" w:hAnsiTheme="minorHAnsi"/>
      <w:sz w:val="22"/>
    </w:rPr>
  </w:style>
  <w:style w:type="paragraph" w:styleId="Obsah3">
    <w:name w:val="toc 3"/>
    <w:basedOn w:val="Normln"/>
    <w:next w:val="Normln"/>
    <w:autoRedefine/>
    <w:uiPriority w:val="39"/>
    <w:unhideWhenUsed/>
    <w:rsid w:val="00B65C98"/>
    <w:pPr>
      <w:spacing w:after="100" w:line="276" w:lineRule="auto"/>
      <w:ind w:left="440"/>
    </w:pPr>
    <w:rPr>
      <w:rFonts w:asciiTheme="minorHAnsi" w:hAnsiTheme="minorHAnsi"/>
      <w:sz w:val="22"/>
    </w:r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unhideWhenUsed/>
    <w:qFormat/>
    <w:rsid w:val="009E4879"/>
    <w:pPr>
      <w:spacing w:after="0" w:line="240" w:lineRule="auto"/>
    </w:pPr>
    <w:rPr>
      <w:rFonts w:asciiTheme="minorHAnsi" w:hAnsiTheme="minorHAnsi"/>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rsid w:val="009E4879"/>
    <w:rPr>
      <w:sz w:val="20"/>
      <w:szCs w:val="20"/>
    </w:rPr>
  </w:style>
  <w:style w:type="character" w:styleId="Znakapoznpodarou">
    <w:name w:val="footnote reference"/>
    <w:basedOn w:val="Standardnpsmoodstavce"/>
    <w:uiPriority w:val="99"/>
    <w:unhideWhenUsed/>
    <w:rsid w:val="009E4879"/>
    <w:rPr>
      <w:vertAlign w:val="superscript"/>
    </w:rPr>
  </w:style>
  <w:style w:type="paragraph" w:styleId="Revize">
    <w:name w:val="Revision"/>
    <w:hidden/>
    <w:uiPriority w:val="99"/>
    <w:semiHidden/>
    <w:rsid w:val="00AE3644"/>
    <w:pPr>
      <w:spacing w:after="0" w:line="240" w:lineRule="auto"/>
    </w:pPr>
    <w:rPr>
      <w:rFonts w:ascii="Arial" w:hAnsi="Arial"/>
      <w:sz w:val="20"/>
    </w:rPr>
  </w:style>
  <w:style w:type="paragraph" w:customStyle="1" w:styleId="TableParagraph">
    <w:name w:val="Table Paragraph"/>
    <w:basedOn w:val="Normln"/>
    <w:uiPriority w:val="1"/>
    <w:qFormat/>
    <w:rsid w:val="00AE4A08"/>
    <w:pPr>
      <w:widowControl w:val="0"/>
      <w:spacing w:after="0" w:line="240" w:lineRule="auto"/>
    </w:pPr>
    <w:rPr>
      <w:rFonts w:asciiTheme="minorHAnsi" w:hAnsiTheme="minorHAnsi"/>
      <w:sz w:val="22"/>
      <w:lang w:val="en-US"/>
    </w:rPr>
  </w:style>
  <w:style w:type="character" w:styleId="Siln">
    <w:name w:val="Strong"/>
    <w:basedOn w:val="Standardnpsmoodstavce"/>
    <w:uiPriority w:val="22"/>
    <w:qFormat/>
    <w:rsid w:val="00ED21B4"/>
    <w:rPr>
      <w:b/>
      <w:bCs/>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NormalTable0">
    <w:name w:val="Normal Table0"/>
    <w:uiPriority w:val="2"/>
    <w:semiHidden/>
    <w:unhideWhenUsed/>
    <w:qFormat/>
    <w:rsid w:val="000B37A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yle13">
    <w:name w:val="Style13"/>
    <w:basedOn w:val="Normln"/>
    <w:uiPriority w:val="99"/>
    <w:rsid w:val="003E252C"/>
    <w:pPr>
      <w:widowControl w:val="0"/>
      <w:autoSpaceDE w:val="0"/>
      <w:autoSpaceDN w:val="0"/>
      <w:adjustRightInd w:val="0"/>
      <w:spacing w:after="0" w:line="293" w:lineRule="exact"/>
      <w:jc w:val="both"/>
    </w:pPr>
    <w:rPr>
      <w:rFonts w:ascii="Courier New" w:eastAsiaTheme="minorEastAsia" w:hAnsi="Courier New" w:cs="Courier New"/>
      <w:sz w:val="24"/>
      <w:szCs w:val="24"/>
      <w:lang w:eastAsia="cs-CZ"/>
    </w:rPr>
  </w:style>
  <w:style w:type="paragraph" w:styleId="FormtovanvHTML">
    <w:name w:val="HTML Preformatted"/>
    <w:basedOn w:val="Normln"/>
    <w:link w:val="FormtovanvHTMLChar"/>
    <w:uiPriority w:val="99"/>
    <w:rsid w:val="00675E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i/>
      <w:iCs/>
      <w:szCs w:val="20"/>
      <w:lang w:eastAsia="cs-CZ"/>
    </w:rPr>
  </w:style>
  <w:style w:type="character" w:customStyle="1" w:styleId="FormtovanvHTMLChar">
    <w:name w:val="Formátovaný v HTML Char"/>
    <w:basedOn w:val="Standardnpsmoodstavce"/>
    <w:link w:val="FormtovanvHTML"/>
    <w:uiPriority w:val="99"/>
    <w:rsid w:val="00675E50"/>
    <w:rPr>
      <w:rFonts w:ascii="Courier New" w:eastAsiaTheme="minorEastAsia" w:hAnsi="Courier New" w:cs="Courier New"/>
      <w:i/>
      <w:iCs/>
      <w:sz w:val="20"/>
      <w:szCs w:val="20"/>
      <w:lang w:eastAsia="cs-CZ"/>
    </w:rPr>
  </w:style>
  <w:style w:type="character" w:customStyle="1" w:styleId="UnresolvedMention1">
    <w:name w:val="Unresolved Mention1"/>
    <w:basedOn w:val="Standardnpsmoodstavce"/>
    <w:uiPriority w:val="99"/>
    <w:semiHidden/>
    <w:unhideWhenUsed/>
    <w:rsid w:val="0027297D"/>
    <w:rPr>
      <w:color w:val="605E5C"/>
      <w:shd w:val="clear" w:color="auto" w:fill="E1DFDD"/>
    </w:rPr>
  </w:style>
  <w:style w:type="character" w:customStyle="1" w:styleId="ui-provider">
    <w:name w:val="ui-provider"/>
    <w:basedOn w:val="Standardnpsmoodstavce"/>
    <w:rsid w:val="00FF5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03429">
      <w:bodyDiv w:val="1"/>
      <w:marLeft w:val="0"/>
      <w:marRight w:val="0"/>
      <w:marTop w:val="0"/>
      <w:marBottom w:val="0"/>
      <w:divBdr>
        <w:top w:val="none" w:sz="0" w:space="0" w:color="auto"/>
        <w:left w:val="none" w:sz="0" w:space="0" w:color="auto"/>
        <w:bottom w:val="none" w:sz="0" w:space="0" w:color="auto"/>
        <w:right w:val="none" w:sz="0" w:space="0" w:color="auto"/>
      </w:divBdr>
    </w:div>
    <w:div w:id="189421903">
      <w:bodyDiv w:val="1"/>
      <w:marLeft w:val="0"/>
      <w:marRight w:val="0"/>
      <w:marTop w:val="0"/>
      <w:marBottom w:val="0"/>
      <w:divBdr>
        <w:top w:val="none" w:sz="0" w:space="0" w:color="auto"/>
        <w:left w:val="none" w:sz="0" w:space="0" w:color="auto"/>
        <w:bottom w:val="none" w:sz="0" w:space="0" w:color="auto"/>
        <w:right w:val="none" w:sz="0" w:space="0" w:color="auto"/>
      </w:divBdr>
    </w:div>
    <w:div w:id="417362319">
      <w:bodyDiv w:val="1"/>
      <w:marLeft w:val="0"/>
      <w:marRight w:val="0"/>
      <w:marTop w:val="0"/>
      <w:marBottom w:val="0"/>
      <w:divBdr>
        <w:top w:val="none" w:sz="0" w:space="0" w:color="auto"/>
        <w:left w:val="none" w:sz="0" w:space="0" w:color="auto"/>
        <w:bottom w:val="none" w:sz="0" w:space="0" w:color="auto"/>
        <w:right w:val="none" w:sz="0" w:space="0" w:color="auto"/>
      </w:divBdr>
    </w:div>
    <w:div w:id="568539505">
      <w:bodyDiv w:val="1"/>
      <w:marLeft w:val="0"/>
      <w:marRight w:val="0"/>
      <w:marTop w:val="0"/>
      <w:marBottom w:val="0"/>
      <w:divBdr>
        <w:top w:val="none" w:sz="0" w:space="0" w:color="auto"/>
        <w:left w:val="none" w:sz="0" w:space="0" w:color="auto"/>
        <w:bottom w:val="none" w:sz="0" w:space="0" w:color="auto"/>
        <w:right w:val="none" w:sz="0" w:space="0" w:color="auto"/>
      </w:divBdr>
    </w:div>
    <w:div w:id="748775212">
      <w:bodyDiv w:val="1"/>
      <w:marLeft w:val="0"/>
      <w:marRight w:val="0"/>
      <w:marTop w:val="0"/>
      <w:marBottom w:val="0"/>
      <w:divBdr>
        <w:top w:val="none" w:sz="0" w:space="0" w:color="auto"/>
        <w:left w:val="none" w:sz="0" w:space="0" w:color="auto"/>
        <w:bottom w:val="none" w:sz="0" w:space="0" w:color="auto"/>
        <w:right w:val="none" w:sz="0" w:space="0" w:color="auto"/>
      </w:divBdr>
    </w:div>
    <w:div w:id="851190283">
      <w:bodyDiv w:val="1"/>
      <w:marLeft w:val="0"/>
      <w:marRight w:val="0"/>
      <w:marTop w:val="0"/>
      <w:marBottom w:val="0"/>
      <w:divBdr>
        <w:top w:val="none" w:sz="0" w:space="0" w:color="auto"/>
        <w:left w:val="none" w:sz="0" w:space="0" w:color="auto"/>
        <w:bottom w:val="none" w:sz="0" w:space="0" w:color="auto"/>
        <w:right w:val="none" w:sz="0" w:space="0" w:color="auto"/>
      </w:divBdr>
    </w:div>
    <w:div w:id="902982287">
      <w:bodyDiv w:val="1"/>
      <w:marLeft w:val="0"/>
      <w:marRight w:val="0"/>
      <w:marTop w:val="0"/>
      <w:marBottom w:val="0"/>
      <w:divBdr>
        <w:top w:val="none" w:sz="0" w:space="0" w:color="auto"/>
        <w:left w:val="none" w:sz="0" w:space="0" w:color="auto"/>
        <w:bottom w:val="none" w:sz="0" w:space="0" w:color="auto"/>
        <w:right w:val="none" w:sz="0" w:space="0" w:color="auto"/>
      </w:divBdr>
    </w:div>
    <w:div w:id="1185628629">
      <w:bodyDiv w:val="1"/>
      <w:marLeft w:val="0"/>
      <w:marRight w:val="0"/>
      <w:marTop w:val="0"/>
      <w:marBottom w:val="0"/>
      <w:divBdr>
        <w:top w:val="none" w:sz="0" w:space="0" w:color="auto"/>
        <w:left w:val="none" w:sz="0" w:space="0" w:color="auto"/>
        <w:bottom w:val="none" w:sz="0" w:space="0" w:color="auto"/>
        <w:right w:val="none" w:sz="0" w:space="0" w:color="auto"/>
      </w:divBdr>
    </w:div>
    <w:div w:id="1380400126">
      <w:bodyDiv w:val="1"/>
      <w:marLeft w:val="0"/>
      <w:marRight w:val="0"/>
      <w:marTop w:val="0"/>
      <w:marBottom w:val="0"/>
      <w:divBdr>
        <w:top w:val="none" w:sz="0" w:space="0" w:color="auto"/>
        <w:left w:val="none" w:sz="0" w:space="0" w:color="auto"/>
        <w:bottom w:val="none" w:sz="0" w:space="0" w:color="auto"/>
        <w:right w:val="none" w:sz="0" w:space="0" w:color="auto"/>
      </w:divBdr>
    </w:div>
    <w:div w:id="1530531758">
      <w:bodyDiv w:val="1"/>
      <w:marLeft w:val="0"/>
      <w:marRight w:val="0"/>
      <w:marTop w:val="0"/>
      <w:marBottom w:val="0"/>
      <w:divBdr>
        <w:top w:val="none" w:sz="0" w:space="0" w:color="auto"/>
        <w:left w:val="none" w:sz="0" w:space="0" w:color="auto"/>
        <w:bottom w:val="none" w:sz="0" w:space="0" w:color="auto"/>
        <w:right w:val="none" w:sz="0" w:space="0" w:color="auto"/>
      </w:divBdr>
    </w:div>
    <w:div w:id="1687058401">
      <w:bodyDiv w:val="1"/>
      <w:marLeft w:val="0"/>
      <w:marRight w:val="0"/>
      <w:marTop w:val="0"/>
      <w:marBottom w:val="0"/>
      <w:divBdr>
        <w:top w:val="none" w:sz="0" w:space="0" w:color="auto"/>
        <w:left w:val="none" w:sz="0" w:space="0" w:color="auto"/>
        <w:bottom w:val="none" w:sz="0" w:space="0" w:color="auto"/>
        <w:right w:val="none" w:sz="0" w:space="0" w:color="auto"/>
      </w:divBdr>
    </w:div>
    <w:div w:id="1724207270">
      <w:bodyDiv w:val="1"/>
      <w:marLeft w:val="0"/>
      <w:marRight w:val="0"/>
      <w:marTop w:val="0"/>
      <w:marBottom w:val="0"/>
      <w:divBdr>
        <w:top w:val="none" w:sz="0" w:space="0" w:color="auto"/>
        <w:left w:val="none" w:sz="0" w:space="0" w:color="auto"/>
        <w:bottom w:val="none" w:sz="0" w:space="0" w:color="auto"/>
        <w:right w:val="none" w:sz="0" w:space="0" w:color="auto"/>
      </w:divBdr>
    </w:div>
    <w:div w:id="1776171449">
      <w:bodyDiv w:val="1"/>
      <w:marLeft w:val="0"/>
      <w:marRight w:val="0"/>
      <w:marTop w:val="0"/>
      <w:marBottom w:val="0"/>
      <w:divBdr>
        <w:top w:val="none" w:sz="0" w:space="0" w:color="auto"/>
        <w:left w:val="none" w:sz="0" w:space="0" w:color="auto"/>
        <w:bottom w:val="none" w:sz="0" w:space="0" w:color="auto"/>
        <w:right w:val="none" w:sz="0" w:space="0" w:color="auto"/>
      </w:divBdr>
    </w:div>
    <w:div w:id="1913855777">
      <w:bodyDiv w:val="1"/>
      <w:marLeft w:val="0"/>
      <w:marRight w:val="0"/>
      <w:marTop w:val="0"/>
      <w:marBottom w:val="0"/>
      <w:divBdr>
        <w:top w:val="none" w:sz="0" w:space="0" w:color="auto"/>
        <w:left w:val="none" w:sz="0" w:space="0" w:color="auto"/>
        <w:bottom w:val="none" w:sz="0" w:space="0" w:color="auto"/>
        <w:right w:val="none" w:sz="0" w:space="0" w:color="auto"/>
      </w:divBdr>
    </w:div>
    <w:div w:id="1933463363">
      <w:bodyDiv w:val="1"/>
      <w:marLeft w:val="0"/>
      <w:marRight w:val="0"/>
      <w:marTop w:val="0"/>
      <w:marBottom w:val="0"/>
      <w:divBdr>
        <w:top w:val="none" w:sz="0" w:space="0" w:color="auto"/>
        <w:left w:val="none" w:sz="0" w:space="0" w:color="auto"/>
        <w:bottom w:val="none" w:sz="0" w:space="0" w:color="auto"/>
        <w:right w:val="none" w:sz="0" w:space="0" w:color="auto"/>
      </w:divBdr>
    </w:div>
    <w:div w:id="204586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diagramColors" Target="diagrams/colors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diagramQuickStyle" Target="diagrams/quickStyle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diagramData" Target="diagrams/data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microsoft.com/office/2011/relationships/people" Target="peop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FE4E40-CBCF-4A06-8BFE-470D41094717}" type="doc">
      <dgm:prSet loTypeId="urn:microsoft.com/office/officeart/2008/layout/NameandTitleOrganizationalChart" loCatId="hierarchy" qsTypeId="urn:microsoft.com/office/officeart/2005/8/quickstyle/simple1" qsCatId="simple" csTypeId="urn:microsoft.com/office/officeart/2005/8/colors/accent1_2" csCatId="accent1" phldr="1"/>
      <dgm:spPr/>
      <dgm:t>
        <a:bodyPr/>
        <a:lstStyle/>
        <a:p>
          <a:endParaRPr lang="cs-CZ"/>
        </a:p>
      </dgm:t>
    </dgm:pt>
    <dgm:pt modelId="{5FF4266D-95C8-4999-8F6D-04E3E983133D}">
      <dgm:prSet phldrT="[Text]"/>
      <dgm:spPr>
        <a:solidFill>
          <a:srgbClr val="FF0000"/>
        </a:solidFill>
      </dgm:spPr>
      <dgm:t>
        <a:bodyPr/>
        <a:lstStyle/>
        <a:p>
          <a:r>
            <a:rPr lang="cs-CZ" b="1"/>
            <a:t>Vláda ČR</a:t>
          </a:r>
        </a:p>
      </dgm:t>
    </dgm:pt>
    <dgm:pt modelId="{3955EA54-C2DF-488D-BBB0-09FB49B24857}" type="parTrans" cxnId="{31CC4253-B322-496B-9D01-0A2E34D8CFAF}">
      <dgm:prSet/>
      <dgm:spPr/>
      <dgm:t>
        <a:bodyPr/>
        <a:lstStyle/>
        <a:p>
          <a:endParaRPr lang="cs-CZ"/>
        </a:p>
      </dgm:t>
    </dgm:pt>
    <dgm:pt modelId="{7782D643-A7F1-4F52-901A-4004CA1A1DA9}" type="sibTrans" cxnId="{31CC4253-B322-496B-9D01-0A2E34D8CFAF}">
      <dgm:prSet/>
      <dgm:spPr/>
      <dgm:t>
        <a:bodyPr/>
        <a:lstStyle/>
        <a:p>
          <a:r>
            <a:rPr lang="cs-CZ"/>
            <a:t>Nositel</a:t>
          </a:r>
        </a:p>
      </dgm:t>
    </dgm:pt>
    <dgm:pt modelId="{89A9D8E8-0DE2-493E-AB49-0D9A07E5D010}" type="asst">
      <dgm:prSet phldrT="[Text]"/>
      <dgm:spPr/>
      <dgm:t>
        <a:bodyPr/>
        <a:lstStyle/>
        <a:p>
          <a:r>
            <a:rPr lang="cs-CZ"/>
            <a:t>MMR</a:t>
          </a:r>
        </a:p>
      </dgm:t>
    </dgm:pt>
    <dgm:pt modelId="{F3C315EF-98AE-43B7-BB99-B03FAD972FAC}" type="parTrans" cxnId="{6F976C73-8020-4EA6-B337-8CBEF59FDA23}">
      <dgm:prSet/>
      <dgm:spPr/>
      <dgm:t>
        <a:bodyPr/>
        <a:lstStyle/>
        <a:p>
          <a:endParaRPr lang="cs-CZ"/>
        </a:p>
      </dgm:t>
    </dgm:pt>
    <dgm:pt modelId="{616330F8-C32B-4080-ACC4-77236CBE14AD}" type="sibTrans" cxnId="{6F976C73-8020-4EA6-B337-8CBEF59FDA23}">
      <dgm:prSet custT="1"/>
      <dgm:spPr/>
      <dgm:t>
        <a:bodyPr/>
        <a:lstStyle/>
        <a:p>
          <a:r>
            <a:rPr lang="cs-CZ" sz="800"/>
            <a:t>Hlavní garant</a:t>
          </a:r>
        </a:p>
      </dgm:t>
    </dgm:pt>
    <dgm:pt modelId="{D1FE82BD-06B6-4F89-B1D5-8F201AEFD70B}">
      <dgm:prSet phldrT="[Text]"/>
      <dgm:spPr>
        <a:solidFill>
          <a:schemeClr val="accent4"/>
        </a:solidFill>
      </dgm:spPr>
      <dgm:t>
        <a:bodyPr/>
        <a:lstStyle/>
        <a:p>
          <a:r>
            <a:rPr lang="cs-CZ"/>
            <a:t>RSK</a:t>
          </a:r>
        </a:p>
      </dgm:t>
    </dgm:pt>
    <dgm:pt modelId="{AA744469-2196-4910-85D3-E1B4FFA45510}" type="parTrans" cxnId="{AB1AA1F3-1583-40A0-A21E-D3A5496762C9}">
      <dgm:prSet/>
      <dgm:spPr/>
      <dgm:t>
        <a:bodyPr/>
        <a:lstStyle/>
        <a:p>
          <a:endParaRPr lang="cs-CZ"/>
        </a:p>
      </dgm:t>
    </dgm:pt>
    <dgm:pt modelId="{D4D78FC6-BFE1-4904-AB03-421E87D84B41}" type="sibTrans" cxnId="{AB1AA1F3-1583-40A0-A21E-D3A5496762C9}">
      <dgm:prSet custT="1"/>
      <dgm:spPr/>
      <dgm:t>
        <a:bodyPr/>
        <a:lstStyle/>
        <a:p>
          <a:r>
            <a:rPr lang="cs-CZ" sz="800"/>
            <a:t>Regionální  pracovní skupiny</a:t>
          </a:r>
        </a:p>
      </dgm:t>
    </dgm:pt>
    <dgm:pt modelId="{B28ACFBF-71C9-4CF3-AE05-5089473DD906}">
      <dgm:prSet phldrT="[Text]"/>
      <dgm:spPr>
        <a:solidFill>
          <a:schemeClr val="accent6">
            <a:lumMod val="75000"/>
          </a:schemeClr>
        </a:solidFill>
      </dgm:spPr>
      <dgm:t>
        <a:bodyPr/>
        <a:lstStyle/>
        <a:p>
          <a:r>
            <a:rPr lang="cs-CZ"/>
            <a:t>Výkonný tým</a:t>
          </a:r>
        </a:p>
      </dgm:t>
    </dgm:pt>
    <dgm:pt modelId="{0CABBF1D-02AB-40F5-AC57-1721154FB93D}" type="parTrans" cxnId="{AB2EF9FA-D22B-4420-A557-94A158A29E0B}">
      <dgm:prSet/>
      <dgm:spPr/>
      <dgm:t>
        <a:bodyPr/>
        <a:lstStyle/>
        <a:p>
          <a:endParaRPr lang="cs-CZ"/>
        </a:p>
      </dgm:t>
    </dgm:pt>
    <dgm:pt modelId="{3347ECC8-CCC5-4024-9738-BFD75968CF77}" type="sibTrans" cxnId="{AB2EF9FA-D22B-4420-A557-94A158A29E0B}">
      <dgm:prSet custT="1"/>
      <dgm:spPr/>
      <dgm:t>
        <a:bodyPr/>
        <a:lstStyle/>
        <a:p>
          <a:r>
            <a:rPr lang="cs-CZ" sz="800"/>
            <a:t>MMR a externí poradci</a:t>
          </a:r>
        </a:p>
      </dgm:t>
    </dgm:pt>
    <dgm:pt modelId="{F99C1FD3-1739-4F1C-A95A-9523EB238251}">
      <dgm:prSet phldrT="[Text]"/>
      <dgm:spPr>
        <a:solidFill>
          <a:srgbClr val="0070C0"/>
        </a:solidFill>
      </dgm:spPr>
      <dgm:t>
        <a:bodyPr/>
        <a:lstStyle/>
        <a:p>
          <a:r>
            <a:rPr lang="cs-CZ"/>
            <a:t>Poradní tým</a:t>
          </a:r>
        </a:p>
      </dgm:t>
    </dgm:pt>
    <dgm:pt modelId="{A63DFA7F-0A8D-4309-9F0A-114B8C0A395B}" type="parTrans" cxnId="{D4EC616B-E540-4297-88EF-34370A7B44CC}">
      <dgm:prSet/>
      <dgm:spPr/>
      <dgm:t>
        <a:bodyPr/>
        <a:lstStyle/>
        <a:p>
          <a:endParaRPr lang="cs-CZ"/>
        </a:p>
      </dgm:t>
    </dgm:pt>
    <dgm:pt modelId="{B7CE848C-383B-4D78-897C-462575296285}" type="sibTrans" cxnId="{D4EC616B-E540-4297-88EF-34370A7B44CC}">
      <dgm:prSet custT="1"/>
      <dgm:spPr/>
      <dgm:t>
        <a:bodyPr/>
        <a:lstStyle/>
        <a:p>
          <a:r>
            <a:rPr lang="cs-CZ" sz="800"/>
            <a:t>MMR, resorty, zástupci tripartit</a:t>
          </a:r>
        </a:p>
      </dgm:t>
    </dgm:pt>
    <dgm:pt modelId="{4D4A387B-7433-4962-A935-3ADD41086446}" type="asst">
      <dgm:prSet phldrT="[Text]"/>
      <dgm:spPr/>
      <dgm:t>
        <a:bodyPr/>
        <a:lstStyle/>
        <a:p>
          <a:r>
            <a:rPr lang="cs-CZ"/>
            <a:t>MŽP</a:t>
          </a:r>
        </a:p>
      </dgm:t>
    </dgm:pt>
    <dgm:pt modelId="{B9A36C4F-9027-4702-8EBC-ED994F8ED41E}" type="parTrans" cxnId="{333CBB00-D115-4C7D-9CFA-CF70C4344ABF}">
      <dgm:prSet/>
      <dgm:spPr/>
      <dgm:t>
        <a:bodyPr/>
        <a:lstStyle/>
        <a:p>
          <a:endParaRPr lang="cs-CZ"/>
        </a:p>
      </dgm:t>
    </dgm:pt>
    <dgm:pt modelId="{13D31141-13E5-4A46-9402-66776B3CCFFA}" type="sibTrans" cxnId="{333CBB00-D115-4C7D-9CFA-CF70C4344ABF}">
      <dgm:prSet custT="1"/>
      <dgm:spPr/>
      <dgm:t>
        <a:bodyPr/>
        <a:lstStyle/>
        <a:p>
          <a:r>
            <a:rPr lang="cs-CZ" sz="800"/>
            <a:t>FST, Modernizační fond</a:t>
          </a:r>
        </a:p>
      </dgm:t>
    </dgm:pt>
    <dgm:pt modelId="{A6A01AB2-3446-4E98-AEE6-95B7B6CF7DF5}" type="asst">
      <dgm:prSet phldrT="[Text]"/>
      <dgm:spPr/>
      <dgm:t>
        <a:bodyPr/>
        <a:lstStyle/>
        <a:p>
          <a:r>
            <a:rPr lang="cs-CZ"/>
            <a:t>MPO a ostatní resorty</a:t>
          </a:r>
        </a:p>
      </dgm:t>
    </dgm:pt>
    <dgm:pt modelId="{A04E986B-FC4F-4BD6-AEA0-39F394E19AA3}" type="parTrans" cxnId="{7AE17476-B75E-47F9-9939-D05A8B3C04BC}">
      <dgm:prSet/>
      <dgm:spPr/>
      <dgm:t>
        <a:bodyPr/>
        <a:lstStyle/>
        <a:p>
          <a:endParaRPr lang="cs-CZ"/>
        </a:p>
      </dgm:t>
    </dgm:pt>
    <dgm:pt modelId="{AFE185E7-5FFC-488B-AFD4-37CA2A93EFF6}" type="sibTrans" cxnId="{7AE17476-B75E-47F9-9939-D05A8B3C04BC}">
      <dgm:prSet custT="1"/>
      <dgm:spPr/>
      <dgm:t>
        <a:bodyPr/>
        <a:lstStyle/>
        <a:p>
          <a:pPr algn="r"/>
          <a:r>
            <a:rPr lang="cs-CZ" sz="800"/>
            <a:t>Spolupráce, Národní programy a EU fondy</a:t>
          </a:r>
        </a:p>
      </dgm:t>
    </dgm:pt>
    <dgm:pt modelId="{030F4449-7380-4A12-89E5-1209135D215F}">
      <dgm:prSet/>
      <dgm:spPr/>
      <dgm:t>
        <a:bodyPr/>
        <a:lstStyle/>
        <a:p>
          <a:endParaRPr lang="cs-CZ"/>
        </a:p>
      </dgm:t>
    </dgm:pt>
    <dgm:pt modelId="{FCC69BCF-BA7E-4500-A62E-24A180E60665}" type="sibTrans" cxnId="{6F7D4822-A4E0-4371-AAE0-3FFC25D5B529}">
      <dgm:prSet custT="1"/>
      <dgm:spPr/>
      <dgm:t>
        <a:bodyPr/>
        <a:lstStyle/>
        <a:p>
          <a:endParaRPr lang="cs-CZ" sz="800"/>
        </a:p>
      </dgm:t>
    </dgm:pt>
    <dgm:pt modelId="{733FC14D-E88A-4B5E-8E7E-5B12B5C81823}" type="parTrans" cxnId="{6F7D4822-A4E0-4371-AAE0-3FFC25D5B529}">
      <dgm:prSet/>
      <dgm:spPr/>
      <dgm:t>
        <a:bodyPr/>
        <a:lstStyle/>
        <a:p>
          <a:endParaRPr lang="cs-CZ"/>
        </a:p>
      </dgm:t>
    </dgm:pt>
    <dgm:pt modelId="{FEEBBE83-A427-478F-8651-A7C40F89F7FE}" type="pres">
      <dgm:prSet presAssocID="{4CFE4E40-CBCF-4A06-8BFE-470D41094717}" presName="hierChild1" presStyleCnt="0">
        <dgm:presLayoutVars>
          <dgm:orgChart val="1"/>
          <dgm:chPref val="1"/>
          <dgm:dir/>
          <dgm:animOne val="branch"/>
          <dgm:animLvl val="lvl"/>
          <dgm:resizeHandles/>
        </dgm:presLayoutVars>
      </dgm:prSet>
      <dgm:spPr/>
    </dgm:pt>
    <dgm:pt modelId="{9C93DFDD-4B43-4251-96FF-FD7327345FD2}" type="pres">
      <dgm:prSet presAssocID="{5FF4266D-95C8-4999-8F6D-04E3E983133D}" presName="hierRoot1" presStyleCnt="0">
        <dgm:presLayoutVars>
          <dgm:hierBranch val="init"/>
        </dgm:presLayoutVars>
      </dgm:prSet>
      <dgm:spPr/>
    </dgm:pt>
    <dgm:pt modelId="{712D8B1F-811B-4970-8BD6-6080F8FD6675}" type="pres">
      <dgm:prSet presAssocID="{5FF4266D-95C8-4999-8F6D-04E3E983133D}" presName="rootComposite1" presStyleCnt="0"/>
      <dgm:spPr/>
    </dgm:pt>
    <dgm:pt modelId="{7E5C9B10-6BBC-4E67-8702-EF56B1F5A3B2}" type="pres">
      <dgm:prSet presAssocID="{5FF4266D-95C8-4999-8F6D-04E3E983133D}" presName="rootText1" presStyleLbl="node0" presStyleIdx="0" presStyleCnt="1" custScaleX="127912">
        <dgm:presLayoutVars>
          <dgm:chMax/>
          <dgm:chPref val="3"/>
        </dgm:presLayoutVars>
      </dgm:prSet>
      <dgm:spPr/>
    </dgm:pt>
    <dgm:pt modelId="{13D9CD5E-A46E-45B9-8520-9AB97404F010}" type="pres">
      <dgm:prSet presAssocID="{5FF4266D-95C8-4999-8F6D-04E3E983133D}" presName="titleText1" presStyleLbl="fgAcc0" presStyleIdx="0" presStyleCnt="1">
        <dgm:presLayoutVars>
          <dgm:chMax val="0"/>
          <dgm:chPref val="0"/>
        </dgm:presLayoutVars>
      </dgm:prSet>
      <dgm:spPr/>
    </dgm:pt>
    <dgm:pt modelId="{EBB50D7B-6D41-42D6-8617-9E0E178EA881}" type="pres">
      <dgm:prSet presAssocID="{5FF4266D-95C8-4999-8F6D-04E3E983133D}" presName="rootConnector1" presStyleLbl="node1" presStyleIdx="0" presStyleCnt="4"/>
      <dgm:spPr/>
    </dgm:pt>
    <dgm:pt modelId="{2DF000B3-8643-4A62-81AC-1BBA13ACE7F7}" type="pres">
      <dgm:prSet presAssocID="{5FF4266D-95C8-4999-8F6D-04E3E983133D}" presName="hierChild2" presStyleCnt="0"/>
      <dgm:spPr/>
    </dgm:pt>
    <dgm:pt modelId="{315115C7-32DD-4881-921B-3CF2EF4C7DBC}" type="pres">
      <dgm:prSet presAssocID="{AA744469-2196-4910-85D3-E1B4FFA45510}" presName="Name37" presStyleLbl="parChTrans1D2" presStyleIdx="0" presStyleCnt="6"/>
      <dgm:spPr/>
    </dgm:pt>
    <dgm:pt modelId="{823C8F6E-7B69-408E-9CA4-1E232A29C2B9}" type="pres">
      <dgm:prSet presAssocID="{D1FE82BD-06B6-4F89-B1D5-8F201AEFD70B}" presName="hierRoot2" presStyleCnt="0">
        <dgm:presLayoutVars>
          <dgm:hierBranch val="init"/>
        </dgm:presLayoutVars>
      </dgm:prSet>
      <dgm:spPr/>
    </dgm:pt>
    <dgm:pt modelId="{0F82016C-330C-4067-8616-47E909A83628}" type="pres">
      <dgm:prSet presAssocID="{D1FE82BD-06B6-4F89-B1D5-8F201AEFD70B}" presName="rootComposite" presStyleCnt="0"/>
      <dgm:spPr/>
    </dgm:pt>
    <dgm:pt modelId="{3F31E2F5-1497-4E91-A0E0-5CE3241B9497}" type="pres">
      <dgm:prSet presAssocID="{D1FE82BD-06B6-4F89-B1D5-8F201AEFD70B}" presName="rootText" presStyleLbl="node1" presStyleIdx="0" presStyleCnt="4">
        <dgm:presLayoutVars>
          <dgm:chMax/>
          <dgm:chPref val="3"/>
        </dgm:presLayoutVars>
      </dgm:prSet>
      <dgm:spPr/>
    </dgm:pt>
    <dgm:pt modelId="{25893F88-E168-4F21-9010-C515A13C0132}" type="pres">
      <dgm:prSet presAssocID="{D1FE82BD-06B6-4F89-B1D5-8F201AEFD70B}" presName="titleText2" presStyleLbl="fgAcc1" presStyleIdx="0" presStyleCnt="4" custScaleX="128807" custScaleY="151591">
        <dgm:presLayoutVars>
          <dgm:chMax val="0"/>
          <dgm:chPref val="0"/>
        </dgm:presLayoutVars>
      </dgm:prSet>
      <dgm:spPr/>
    </dgm:pt>
    <dgm:pt modelId="{249C1780-99B5-446C-8E70-96DF35B97D24}" type="pres">
      <dgm:prSet presAssocID="{D1FE82BD-06B6-4F89-B1D5-8F201AEFD70B}" presName="rootConnector" presStyleLbl="node2" presStyleIdx="0" presStyleCnt="0"/>
      <dgm:spPr/>
    </dgm:pt>
    <dgm:pt modelId="{41B8132A-51EF-42A0-A51D-C59FEDEA912C}" type="pres">
      <dgm:prSet presAssocID="{D1FE82BD-06B6-4F89-B1D5-8F201AEFD70B}" presName="hierChild4" presStyleCnt="0"/>
      <dgm:spPr/>
    </dgm:pt>
    <dgm:pt modelId="{EDDB0A27-EEBF-4A60-BC46-EF2FEA6D435D}" type="pres">
      <dgm:prSet presAssocID="{D1FE82BD-06B6-4F89-B1D5-8F201AEFD70B}" presName="hierChild5" presStyleCnt="0"/>
      <dgm:spPr/>
    </dgm:pt>
    <dgm:pt modelId="{4A13BDE6-CB44-43FF-84E8-D1A4C93E1007}" type="pres">
      <dgm:prSet presAssocID="{0CABBF1D-02AB-40F5-AC57-1721154FB93D}" presName="Name37" presStyleLbl="parChTrans1D2" presStyleIdx="1" presStyleCnt="6"/>
      <dgm:spPr/>
    </dgm:pt>
    <dgm:pt modelId="{3CD8E2B3-D655-42B1-8291-C26274FD8572}" type="pres">
      <dgm:prSet presAssocID="{B28ACFBF-71C9-4CF3-AE05-5089473DD906}" presName="hierRoot2" presStyleCnt="0">
        <dgm:presLayoutVars>
          <dgm:hierBranch val="init"/>
        </dgm:presLayoutVars>
      </dgm:prSet>
      <dgm:spPr/>
    </dgm:pt>
    <dgm:pt modelId="{25A6B1F8-3A5C-4198-AA66-75D59B6C1ADE}" type="pres">
      <dgm:prSet presAssocID="{B28ACFBF-71C9-4CF3-AE05-5089473DD906}" presName="rootComposite" presStyleCnt="0"/>
      <dgm:spPr/>
    </dgm:pt>
    <dgm:pt modelId="{8BB1AE46-7B4C-416E-85BD-81B9C233FB0D}" type="pres">
      <dgm:prSet presAssocID="{B28ACFBF-71C9-4CF3-AE05-5089473DD906}" presName="rootText" presStyleLbl="node1" presStyleIdx="1" presStyleCnt="4" custLinFactNeighborX="15060" custLinFactNeighborY="-2318">
        <dgm:presLayoutVars>
          <dgm:chMax/>
          <dgm:chPref val="3"/>
        </dgm:presLayoutVars>
      </dgm:prSet>
      <dgm:spPr/>
    </dgm:pt>
    <dgm:pt modelId="{C4DCD032-3D2F-440A-8F28-9AE8E2D322BB}" type="pres">
      <dgm:prSet presAssocID="{B28ACFBF-71C9-4CF3-AE05-5089473DD906}" presName="titleText2" presStyleLbl="fgAcc1" presStyleIdx="1" presStyleCnt="4" custScaleX="137817" custScaleY="119827">
        <dgm:presLayoutVars>
          <dgm:chMax val="0"/>
          <dgm:chPref val="0"/>
        </dgm:presLayoutVars>
      </dgm:prSet>
      <dgm:spPr/>
    </dgm:pt>
    <dgm:pt modelId="{DB2E2D2F-FF9D-459E-8B41-FF4F813D8601}" type="pres">
      <dgm:prSet presAssocID="{B28ACFBF-71C9-4CF3-AE05-5089473DD906}" presName="rootConnector" presStyleLbl="node2" presStyleIdx="0" presStyleCnt="0"/>
      <dgm:spPr/>
    </dgm:pt>
    <dgm:pt modelId="{07A3E458-4319-42DC-A0DD-076536FDFEE2}" type="pres">
      <dgm:prSet presAssocID="{B28ACFBF-71C9-4CF3-AE05-5089473DD906}" presName="hierChild4" presStyleCnt="0"/>
      <dgm:spPr/>
    </dgm:pt>
    <dgm:pt modelId="{5F6CF283-8095-43DE-BC0B-EF31A7B92265}" type="pres">
      <dgm:prSet presAssocID="{B28ACFBF-71C9-4CF3-AE05-5089473DD906}" presName="hierChild5" presStyleCnt="0"/>
      <dgm:spPr/>
    </dgm:pt>
    <dgm:pt modelId="{1A199CA8-A8CE-4F9D-A0E0-DA1275F44F82}" type="pres">
      <dgm:prSet presAssocID="{A63DFA7F-0A8D-4309-9F0A-114B8C0A395B}" presName="Name37" presStyleLbl="parChTrans1D2" presStyleIdx="2" presStyleCnt="6"/>
      <dgm:spPr/>
    </dgm:pt>
    <dgm:pt modelId="{7B77AB8E-7697-489F-841D-FBED74FB8F40}" type="pres">
      <dgm:prSet presAssocID="{F99C1FD3-1739-4F1C-A95A-9523EB238251}" presName="hierRoot2" presStyleCnt="0">
        <dgm:presLayoutVars>
          <dgm:hierBranch val="init"/>
        </dgm:presLayoutVars>
      </dgm:prSet>
      <dgm:spPr/>
    </dgm:pt>
    <dgm:pt modelId="{0AA4187B-C8FC-4A1B-A582-552440F7DAA3}" type="pres">
      <dgm:prSet presAssocID="{F99C1FD3-1739-4F1C-A95A-9523EB238251}" presName="rootComposite" presStyleCnt="0"/>
      <dgm:spPr/>
    </dgm:pt>
    <dgm:pt modelId="{95B88456-4B1E-44EE-9C69-C8B850DE2D86}" type="pres">
      <dgm:prSet presAssocID="{F99C1FD3-1739-4F1C-A95A-9523EB238251}" presName="rootText" presStyleLbl="node1" presStyleIdx="2" presStyleCnt="4">
        <dgm:presLayoutVars>
          <dgm:chMax/>
          <dgm:chPref val="3"/>
        </dgm:presLayoutVars>
      </dgm:prSet>
      <dgm:spPr/>
    </dgm:pt>
    <dgm:pt modelId="{E6C9196B-E0F0-4DC0-815B-F278DD6194DD}" type="pres">
      <dgm:prSet presAssocID="{F99C1FD3-1739-4F1C-A95A-9523EB238251}" presName="titleText2" presStyleLbl="fgAcc1" presStyleIdx="2" presStyleCnt="4" custScaleX="158481" custScaleY="148499" custLinFactNeighborX="35435" custLinFactNeighborY="-13521">
        <dgm:presLayoutVars>
          <dgm:chMax val="0"/>
          <dgm:chPref val="0"/>
        </dgm:presLayoutVars>
      </dgm:prSet>
      <dgm:spPr/>
    </dgm:pt>
    <dgm:pt modelId="{91FB12A3-DE9E-42AD-9BCD-C80FFEA985A6}" type="pres">
      <dgm:prSet presAssocID="{F99C1FD3-1739-4F1C-A95A-9523EB238251}" presName="rootConnector" presStyleLbl="node2" presStyleIdx="0" presStyleCnt="0"/>
      <dgm:spPr/>
    </dgm:pt>
    <dgm:pt modelId="{CE635C3C-F1E9-481E-81FE-CE280DB02AF8}" type="pres">
      <dgm:prSet presAssocID="{F99C1FD3-1739-4F1C-A95A-9523EB238251}" presName="hierChild4" presStyleCnt="0"/>
      <dgm:spPr/>
    </dgm:pt>
    <dgm:pt modelId="{6C6C3408-8721-4E81-BDA4-742B5F0A7D98}" type="pres">
      <dgm:prSet presAssocID="{F99C1FD3-1739-4F1C-A95A-9523EB238251}" presName="hierChild5" presStyleCnt="0"/>
      <dgm:spPr/>
    </dgm:pt>
    <dgm:pt modelId="{B20502C2-4D78-46B8-95AB-99EE1333DCED}" type="pres">
      <dgm:prSet presAssocID="{5FF4266D-95C8-4999-8F6D-04E3E983133D}" presName="hierChild3" presStyleCnt="0"/>
      <dgm:spPr/>
    </dgm:pt>
    <dgm:pt modelId="{E2E25081-A713-46AA-BD7D-A44D9DA92F99}" type="pres">
      <dgm:prSet presAssocID="{F3C315EF-98AE-43B7-BB99-B03FAD972FAC}" presName="Name96" presStyleLbl="parChTrans1D2" presStyleIdx="3" presStyleCnt="6"/>
      <dgm:spPr/>
    </dgm:pt>
    <dgm:pt modelId="{FB05C964-4215-4111-91C1-0CC4B9AC90FB}" type="pres">
      <dgm:prSet presAssocID="{89A9D8E8-0DE2-493E-AB49-0D9A07E5D010}" presName="hierRoot3" presStyleCnt="0">
        <dgm:presLayoutVars>
          <dgm:hierBranch val="init"/>
        </dgm:presLayoutVars>
      </dgm:prSet>
      <dgm:spPr/>
    </dgm:pt>
    <dgm:pt modelId="{76ACA7A1-62F7-4C91-BE00-63AC1F95526A}" type="pres">
      <dgm:prSet presAssocID="{89A9D8E8-0DE2-493E-AB49-0D9A07E5D010}" presName="rootComposite3" presStyleCnt="0"/>
      <dgm:spPr/>
    </dgm:pt>
    <dgm:pt modelId="{D4145C95-B12B-407D-A57E-61864351223C}" type="pres">
      <dgm:prSet presAssocID="{89A9D8E8-0DE2-493E-AB49-0D9A07E5D010}" presName="rootText3" presStyleLbl="asst1" presStyleIdx="0" presStyleCnt="3" custLinFactNeighborX="893" custLinFactNeighborY="-4314">
        <dgm:presLayoutVars>
          <dgm:chPref val="3"/>
        </dgm:presLayoutVars>
      </dgm:prSet>
      <dgm:spPr/>
    </dgm:pt>
    <dgm:pt modelId="{AB83C9C1-E4D0-4749-A4D8-861558605971}" type="pres">
      <dgm:prSet presAssocID="{89A9D8E8-0DE2-493E-AB49-0D9A07E5D010}" presName="titleText3" presStyleLbl="fgAcc2" presStyleIdx="0" presStyleCnt="3">
        <dgm:presLayoutVars>
          <dgm:chMax val="0"/>
          <dgm:chPref val="0"/>
        </dgm:presLayoutVars>
      </dgm:prSet>
      <dgm:spPr/>
    </dgm:pt>
    <dgm:pt modelId="{B153C572-8289-4B71-8BBF-E2899B60CC73}" type="pres">
      <dgm:prSet presAssocID="{89A9D8E8-0DE2-493E-AB49-0D9A07E5D010}" presName="rootConnector3" presStyleLbl="asst1" presStyleIdx="0" presStyleCnt="3"/>
      <dgm:spPr/>
    </dgm:pt>
    <dgm:pt modelId="{23B1EDB8-F9F0-4B3B-900C-81FC7B40C4E0}" type="pres">
      <dgm:prSet presAssocID="{89A9D8E8-0DE2-493E-AB49-0D9A07E5D010}" presName="hierChild6" presStyleCnt="0"/>
      <dgm:spPr/>
    </dgm:pt>
    <dgm:pt modelId="{5FDBC3AA-FACC-4230-990F-83C3E4E24917}" type="pres">
      <dgm:prSet presAssocID="{733FC14D-E88A-4B5E-8E7E-5B12B5C81823}" presName="Name37" presStyleLbl="parChTrans1D3" presStyleIdx="0" presStyleCnt="1"/>
      <dgm:spPr/>
    </dgm:pt>
    <dgm:pt modelId="{9CEC5718-8601-44B7-8C03-AF454C9DF1FA}" type="pres">
      <dgm:prSet presAssocID="{030F4449-7380-4A12-89E5-1209135D215F}" presName="hierRoot2" presStyleCnt="0">
        <dgm:presLayoutVars>
          <dgm:hierBranch val="init"/>
        </dgm:presLayoutVars>
      </dgm:prSet>
      <dgm:spPr/>
    </dgm:pt>
    <dgm:pt modelId="{F98D8E4C-320C-4445-9BD8-44819A6D44BB}" type="pres">
      <dgm:prSet presAssocID="{030F4449-7380-4A12-89E5-1209135D215F}" presName="rootComposite" presStyleCnt="0"/>
      <dgm:spPr/>
    </dgm:pt>
    <dgm:pt modelId="{6F3CC923-E446-45B6-8BEB-2813152D34DB}" type="pres">
      <dgm:prSet presAssocID="{030F4449-7380-4A12-89E5-1209135D215F}" presName="rootText" presStyleLbl="node1" presStyleIdx="3" presStyleCnt="4" custLinFactNeighborX="762" custLinFactNeighborY="2946">
        <dgm:presLayoutVars>
          <dgm:chMax/>
          <dgm:chPref val="3"/>
        </dgm:presLayoutVars>
      </dgm:prSet>
      <dgm:spPr/>
    </dgm:pt>
    <dgm:pt modelId="{EDF69EAC-8722-46A2-8716-16DD8CEA4EB3}" type="pres">
      <dgm:prSet presAssocID="{030F4449-7380-4A12-89E5-1209135D215F}" presName="titleText2" presStyleLbl="fgAcc1" presStyleIdx="3" presStyleCnt="4" custLinFactNeighborX="-2643" custLinFactNeighborY="32919">
        <dgm:presLayoutVars>
          <dgm:chMax val="0"/>
          <dgm:chPref val="0"/>
        </dgm:presLayoutVars>
      </dgm:prSet>
      <dgm:spPr/>
    </dgm:pt>
    <dgm:pt modelId="{267B210A-E2FD-4709-ADFE-D60B21938D51}" type="pres">
      <dgm:prSet presAssocID="{030F4449-7380-4A12-89E5-1209135D215F}" presName="rootConnector" presStyleLbl="node3" presStyleIdx="0" presStyleCnt="0"/>
      <dgm:spPr/>
    </dgm:pt>
    <dgm:pt modelId="{2B6C6F4C-6015-4B94-AA8F-F3B4CC07BCA2}" type="pres">
      <dgm:prSet presAssocID="{030F4449-7380-4A12-89E5-1209135D215F}" presName="hierChild4" presStyleCnt="0"/>
      <dgm:spPr/>
    </dgm:pt>
    <dgm:pt modelId="{66C006D7-A6F8-4911-9183-6E90ABC5ABAE}" type="pres">
      <dgm:prSet presAssocID="{030F4449-7380-4A12-89E5-1209135D215F}" presName="hierChild5" presStyleCnt="0"/>
      <dgm:spPr/>
    </dgm:pt>
    <dgm:pt modelId="{8D656F87-D23B-4DD7-9CA6-E66027A84C15}" type="pres">
      <dgm:prSet presAssocID="{89A9D8E8-0DE2-493E-AB49-0D9A07E5D010}" presName="hierChild7" presStyleCnt="0"/>
      <dgm:spPr/>
    </dgm:pt>
    <dgm:pt modelId="{E08231DE-40FA-4C5A-9859-F8312103A39A}" type="pres">
      <dgm:prSet presAssocID="{B9A36C4F-9027-4702-8EBC-ED994F8ED41E}" presName="Name96" presStyleLbl="parChTrans1D2" presStyleIdx="4" presStyleCnt="6"/>
      <dgm:spPr/>
    </dgm:pt>
    <dgm:pt modelId="{F94A21FF-0E06-4086-AD08-4D9151EC1395}" type="pres">
      <dgm:prSet presAssocID="{4D4A387B-7433-4962-A935-3ADD41086446}" presName="hierRoot3" presStyleCnt="0">
        <dgm:presLayoutVars>
          <dgm:hierBranch val="init"/>
        </dgm:presLayoutVars>
      </dgm:prSet>
      <dgm:spPr/>
    </dgm:pt>
    <dgm:pt modelId="{57E4CA6D-0EB9-48B7-93FC-CE97A1C6AB1C}" type="pres">
      <dgm:prSet presAssocID="{4D4A387B-7433-4962-A935-3ADD41086446}" presName="rootComposite3" presStyleCnt="0"/>
      <dgm:spPr/>
    </dgm:pt>
    <dgm:pt modelId="{0A2D15FF-C179-4F80-82A5-6A609DCE53AD}" type="pres">
      <dgm:prSet presAssocID="{4D4A387B-7433-4962-A935-3ADD41086446}" presName="rootText3" presStyleLbl="asst1" presStyleIdx="1" presStyleCnt="3" custLinFactNeighborX="893" custLinFactNeighborY="-4314">
        <dgm:presLayoutVars>
          <dgm:chPref val="3"/>
        </dgm:presLayoutVars>
      </dgm:prSet>
      <dgm:spPr/>
    </dgm:pt>
    <dgm:pt modelId="{5643791B-D254-4D68-A10D-868F9D461479}" type="pres">
      <dgm:prSet presAssocID="{4D4A387B-7433-4962-A935-3ADD41086446}" presName="titleText3" presStyleLbl="fgAcc2" presStyleIdx="1" presStyleCnt="3" custScaleX="118068" custScaleY="183916">
        <dgm:presLayoutVars>
          <dgm:chMax val="0"/>
          <dgm:chPref val="0"/>
        </dgm:presLayoutVars>
      </dgm:prSet>
      <dgm:spPr/>
    </dgm:pt>
    <dgm:pt modelId="{13B39154-DD78-4EC8-9B00-F392F7E16FFD}" type="pres">
      <dgm:prSet presAssocID="{4D4A387B-7433-4962-A935-3ADD41086446}" presName="rootConnector3" presStyleLbl="asst1" presStyleIdx="1" presStyleCnt="3"/>
      <dgm:spPr/>
    </dgm:pt>
    <dgm:pt modelId="{3C7CE16C-B7A2-4F32-85CF-E95A763CD2D8}" type="pres">
      <dgm:prSet presAssocID="{4D4A387B-7433-4962-A935-3ADD41086446}" presName="hierChild6" presStyleCnt="0"/>
      <dgm:spPr/>
    </dgm:pt>
    <dgm:pt modelId="{58DF0393-A467-4198-A1DC-DDCED7124861}" type="pres">
      <dgm:prSet presAssocID="{4D4A387B-7433-4962-A935-3ADD41086446}" presName="hierChild7" presStyleCnt="0"/>
      <dgm:spPr/>
    </dgm:pt>
    <dgm:pt modelId="{26BA4B7E-BBC4-4210-923E-7C213787BA2B}" type="pres">
      <dgm:prSet presAssocID="{A04E986B-FC4F-4BD6-AEA0-39F394E19AA3}" presName="Name96" presStyleLbl="parChTrans1D2" presStyleIdx="5" presStyleCnt="6"/>
      <dgm:spPr/>
    </dgm:pt>
    <dgm:pt modelId="{BCED667D-F4E4-4186-A916-EEA7D29E5071}" type="pres">
      <dgm:prSet presAssocID="{A6A01AB2-3446-4E98-AEE6-95B7B6CF7DF5}" presName="hierRoot3" presStyleCnt="0">
        <dgm:presLayoutVars>
          <dgm:hierBranch val="init"/>
        </dgm:presLayoutVars>
      </dgm:prSet>
      <dgm:spPr/>
    </dgm:pt>
    <dgm:pt modelId="{3247CE74-EA69-4FE6-821C-7EB5B746F4AD}" type="pres">
      <dgm:prSet presAssocID="{A6A01AB2-3446-4E98-AEE6-95B7B6CF7DF5}" presName="rootComposite3" presStyleCnt="0"/>
      <dgm:spPr/>
    </dgm:pt>
    <dgm:pt modelId="{B34B061F-F304-47C7-8D66-94B251271DC3}" type="pres">
      <dgm:prSet presAssocID="{A6A01AB2-3446-4E98-AEE6-95B7B6CF7DF5}" presName="rootText3" presStyleLbl="asst1" presStyleIdx="2" presStyleCnt="3" custLinFactX="73811" custLinFactY="-7315" custLinFactNeighborX="100000" custLinFactNeighborY="-100000">
        <dgm:presLayoutVars>
          <dgm:chPref val="3"/>
        </dgm:presLayoutVars>
      </dgm:prSet>
      <dgm:spPr/>
    </dgm:pt>
    <dgm:pt modelId="{5C329F62-337E-4410-8DD4-85BFF4AAA386}" type="pres">
      <dgm:prSet presAssocID="{A6A01AB2-3446-4E98-AEE6-95B7B6CF7DF5}" presName="titleText3" presStyleLbl="fgAcc2" presStyleIdx="2" presStyleCnt="3" custScaleX="156608" custScaleY="167237" custLinFactX="100000" custLinFactY="-100000" custLinFactNeighborX="115502" custLinFactNeighborY="-158953">
        <dgm:presLayoutVars>
          <dgm:chMax val="0"/>
          <dgm:chPref val="0"/>
        </dgm:presLayoutVars>
      </dgm:prSet>
      <dgm:spPr/>
    </dgm:pt>
    <dgm:pt modelId="{E71087E4-9409-417F-B9CB-ED3460E15966}" type="pres">
      <dgm:prSet presAssocID="{A6A01AB2-3446-4E98-AEE6-95B7B6CF7DF5}" presName="rootConnector3" presStyleLbl="asst1" presStyleIdx="2" presStyleCnt="3"/>
      <dgm:spPr/>
    </dgm:pt>
    <dgm:pt modelId="{5B2D0E98-12E8-48C0-BF1B-2FE168516B41}" type="pres">
      <dgm:prSet presAssocID="{A6A01AB2-3446-4E98-AEE6-95B7B6CF7DF5}" presName="hierChild6" presStyleCnt="0"/>
      <dgm:spPr/>
    </dgm:pt>
    <dgm:pt modelId="{37D2B084-7C06-46FD-AE40-419FFDD4D72B}" type="pres">
      <dgm:prSet presAssocID="{A6A01AB2-3446-4E98-AEE6-95B7B6CF7DF5}" presName="hierChild7" presStyleCnt="0"/>
      <dgm:spPr/>
    </dgm:pt>
  </dgm:ptLst>
  <dgm:cxnLst>
    <dgm:cxn modelId="{333CBB00-D115-4C7D-9CFA-CF70C4344ABF}" srcId="{5FF4266D-95C8-4999-8F6D-04E3E983133D}" destId="{4D4A387B-7433-4962-A935-3ADD41086446}" srcOrd="1" destOrd="0" parTransId="{B9A36C4F-9027-4702-8EBC-ED994F8ED41E}" sibTransId="{13D31141-13E5-4A46-9402-66776B3CCFFA}"/>
    <dgm:cxn modelId="{BBF54008-F683-4640-84DF-9FE5D8C5AD08}" type="presOf" srcId="{4D4A387B-7433-4962-A935-3ADD41086446}" destId="{13B39154-DD78-4EC8-9B00-F392F7E16FFD}" srcOrd="1" destOrd="0" presId="urn:microsoft.com/office/officeart/2008/layout/NameandTitleOrganizationalChart"/>
    <dgm:cxn modelId="{2D696F08-56AD-4148-A435-37DB814EE537}" type="presOf" srcId="{B28ACFBF-71C9-4CF3-AE05-5089473DD906}" destId="{8BB1AE46-7B4C-416E-85BD-81B9C233FB0D}" srcOrd="0" destOrd="0" presId="urn:microsoft.com/office/officeart/2008/layout/NameandTitleOrganizationalChart"/>
    <dgm:cxn modelId="{0E833409-C8E2-4242-8217-C3F5DA5ED68F}" type="presOf" srcId="{030F4449-7380-4A12-89E5-1209135D215F}" destId="{6F3CC923-E446-45B6-8BEB-2813152D34DB}" srcOrd="0" destOrd="0" presId="urn:microsoft.com/office/officeart/2008/layout/NameandTitleOrganizationalChart"/>
    <dgm:cxn modelId="{FBC3D921-3A70-4363-BAAF-BE2241F11484}" type="presOf" srcId="{0CABBF1D-02AB-40F5-AC57-1721154FB93D}" destId="{4A13BDE6-CB44-43FF-84E8-D1A4C93E1007}" srcOrd="0" destOrd="0" presId="urn:microsoft.com/office/officeart/2008/layout/NameandTitleOrganizationalChart"/>
    <dgm:cxn modelId="{6F7D4822-A4E0-4371-AAE0-3FFC25D5B529}" srcId="{89A9D8E8-0DE2-493E-AB49-0D9A07E5D010}" destId="{030F4449-7380-4A12-89E5-1209135D215F}" srcOrd="0" destOrd="0" parTransId="{733FC14D-E88A-4B5E-8E7E-5B12B5C81823}" sibTransId="{FCC69BCF-BA7E-4500-A62E-24A180E60665}"/>
    <dgm:cxn modelId="{468C3E26-F6E4-40CB-89B5-6290D61970BD}" type="presOf" srcId="{7782D643-A7F1-4F52-901A-4004CA1A1DA9}" destId="{13D9CD5E-A46E-45B9-8520-9AB97404F010}" srcOrd="0" destOrd="0" presId="urn:microsoft.com/office/officeart/2008/layout/NameandTitleOrganizationalChart"/>
    <dgm:cxn modelId="{E4A3F927-7E69-47C1-B607-FD6458D32C0F}" type="presOf" srcId="{FCC69BCF-BA7E-4500-A62E-24A180E60665}" destId="{EDF69EAC-8722-46A2-8716-16DD8CEA4EB3}" srcOrd="0" destOrd="0" presId="urn:microsoft.com/office/officeart/2008/layout/NameandTitleOrganizationalChart"/>
    <dgm:cxn modelId="{6115702B-5497-4AE2-844B-2DAF14C8B87C}" type="presOf" srcId="{4CFE4E40-CBCF-4A06-8BFE-470D41094717}" destId="{FEEBBE83-A427-478F-8651-A7C40F89F7FE}" srcOrd="0" destOrd="0" presId="urn:microsoft.com/office/officeart/2008/layout/NameandTitleOrganizationalChart"/>
    <dgm:cxn modelId="{6C60462F-200B-4F20-A0B2-0DF50A82EEAC}" type="presOf" srcId="{3347ECC8-CCC5-4024-9738-BFD75968CF77}" destId="{C4DCD032-3D2F-440A-8F28-9AE8E2D322BB}" srcOrd="0" destOrd="0" presId="urn:microsoft.com/office/officeart/2008/layout/NameandTitleOrganizationalChart"/>
    <dgm:cxn modelId="{8C708630-B3E0-4FF2-A0C0-10FDFF6758C0}" type="presOf" srcId="{B7CE848C-383B-4D78-897C-462575296285}" destId="{E6C9196B-E0F0-4DC0-815B-F278DD6194DD}" srcOrd="0" destOrd="0" presId="urn:microsoft.com/office/officeart/2008/layout/NameandTitleOrganizationalChart"/>
    <dgm:cxn modelId="{80C42535-1746-4634-9AB3-C6CF85125865}" type="presOf" srcId="{4D4A387B-7433-4962-A935-3ADD41086446}" destId="{0A2D15FF-C179-4F80-82A5-6A609DCE53AD}" srcOrd="0" destOrd="0" presId="urn:microsoft.com/office/officeart/2008/layout/NameandTitleOrganizationalChart"/>
    <dgm:cxn modelId="{0C6E4E61-FCAA-48A8-BC91-14140C3B286E}" type="presOf" srcId="{89A9D8E8-0DE2-493E-AB49-0D9A07E5D010}" destId="{B153C572-8289-4B71-8BBF-E2899B60CC73}" srcOrd="1" destOrd="0" presId="urn:microsoft.com/office/officeart/2008/layout/NameandTitleOrganizationalChart"/>
    <dgm:cxn modelId="{0E3CD647-339F-4939-B917-F180013DE300}" type="presOf" srcId="{733FC14D-E88A-4B5E-8E7E-5B12B5C81823}" destId="{5FDBC3AA-FACC-4230-990F-83C3E4E24917}" srcOrd="0" destOrd="0" presId="urn:microsoft.com/office/officeart/2008/layout/NameandTitleOrganizationalChart"/>
    <dgm:cxn modelId="{D4EC616B-E540-4297-88EF-34370A7B44CC}" srcId="{5FF4266D-95C8-4999-8F6D-04E3E983133D}" destId="{F99C1FD3-1739-4F1C-A95A-9523EB238251}" srcOrd="5" destOrd="0" parTransId="{A63DFA7F-0A8D-4309-9F0A-114B8C0A395B}" sibTransId="{B7CE848C-383B-4D78-897C-462575296285}"/>
    <dgm:cxn modelId="{4EC3F84B-D935-4322-9774-AD1A9417C560}" type="presOf" srcId="{B28ACFBF-71C9-4CF3-AE05-5089473DD906}" destId="{DB2E2D2F-FF9D-459E-8B41-FF4F813D8601}" srcOrd="1" destOrd="0" presId="urn:microsoft.com/office/officeart/2008/layout/NameandTitleOrganizationalChart"/>
    <dgm:cxn modelId="{04BE684F-C8B2-4566-8434-EA96D9DE7558}" type="presOf" srcId="{89A9D8E8-0DE2-493E-AB49-0D9A07E5D010}" destId="{D4145C95-B12B-407D-A57E-61864351223C}" srcOrd="0" destOrd="0" presId="urn:microsoft.com/office/officeart/2008/layout/NameandTitleOrganizationalChart"/>
    <dgm:cxn modelId="{31CC4253-B322-496B-9D01-0A2E34D8CFAF}" srcId="{4CFE4E40-CBCF-4A06-8BFE-470D41094717}" destId="{5FF4266D-95C8-4999-8F6D-04E3E983133D}" srcOrd="0" destOrd="0" parTransId="{3955EA54-C2DF-488D-BBB0-09FB49B24857}" sibTransId="{7782D643-A7F1-4F52-901A-4004CA1A1DA9}"/>
    <dgm:cxn modelId="{6F976C73-8020-4EA6-B337-8CBEF59FDA23}" srcId="{5FF4266D-95C8-4999-8F6D-04E3E983133D}" destId="{89A9D8E8-0DE2-493E-AB49-0D9A07E5D010}" srcOrd="0" destOrd="0" parTransId="{F3C315EF-98AE-43B7-BB99-B03FAD972FAC}" sibTransId="{616330F8-C32B-4080-ACC4-77236CBE14AD}"/>
    <dgm:cxn modelId="{7AE17476-B75E-47F9-9939-D05A8B3C04BC}" srcId="{5FF4266D-95C8-4999-8F6D-04E3E983133D}" destId="{A6A01AB2-3446-4E98-AEE6-95B7B6CF7DF5}" srcOrd="2" destOrd="0" parTransId="{A04E986B-FC4F-4BD6-AEA0-39F394E19AA3}" sibTransId="{AFE185E7-5FFC-488B-AFD4-37CA2A93EFF6}"/>
    <dgm:cxn modelId="{DBCC5F5A-2026-4E28-8A71-09AAF35C2833}" type="presOf" srcId="{F99C1FD3-1739-4F1C-A95A-9523EB238251}" destId="{91FB12A3-DE9E-42AD-9BCD-C80FFEA985A6}" srcOrd="1" destOrd="0" presId="urn:microsoft.com/office/officeart/2008/layout/NameandTitleOrganizationalChart"/>
    <dgm:cxn modelId="{91CA5F7E-8479-49A5-8033-5ACC8B301B80}" type="presOf" srcId="{5FF4266D-95C8-4999-8F6D-04E3E983133D}" destId="{7E5C9B10-6BBC-4E67-8702-EF56B1F5A3B2}" srcOrd="0" destOrd="0" presId="urn:microsoft.com/office/officeart/2008/layout/NameandTitleOrganizationalChart"/>
    <dgm:cxn modelId="{AE787987-5E94-44A9-93BB-7A1D2A646ADF}" type="presOf" srcId="{D4D78FC6-BFE1-4904-AB03-421E87D84B41}" destId="{25893F88-E168-4F21-9010-C515A13C0132}" srcOrd="0" destOrd="0" presId="urn:microsoft.com/office/officeart/2008/layout/NameandTitleOrganizationalChart"/>
    <dgm:cxn modelId="{1D931398-29CC-42C8-8C72-1145F6DA05AE}" type="presOf" srcId="{F99C1FD3-1739-4F1C-A95A-9523EB238251}" destId="{95B88456-4B1E-44EE-9C69-C8B850DE2D86}" srcOrd="0" destOrd="0" presId="urn:microsoft.com/office/officeart/2008/layout/NameandTitleOrganizationalChart"/>
    <dgm:cxn modelId="{321DC49A-364E-4277-8975-7C3C209D5479}" type="presOf" srcId="{D1FE82BD-06B6-4F89-B1D5-8F201AEFD70B}" destId="{3F31E2F5-1497-4E91-A0E0-5CE3241B9497}" srcOrd="0" destOrd="0" presId="urn:microsoft.com/office/officeart/2008/layout/NameandTitleOrganizationalChart"/>
    <dgm:cxn modelId="{C59DB7A8-D048-4A2E-8749-C0384C41A03D}" type="presOf" srcId="{A6A01AB2-3446-4E98-AEE6-95B7B6CF7DF5}" destId="{E71087E4-9409-417F-B9CB-ED3460E15966}" srcOrd="1" destOrd="0" presId="urn:microsoft.com/office/officeart/2008/layout/NameandTitleOrganizationalChart"/>
    <dgm:cxn modelId="{35610AB6-B0C5-4B07-947B-E3F97068ED8C}" type="presOf" srcId="{A04E986B-FC4F-4BD6-AEA0-39F394E19AA3}" destId="{26BA4B7E-BBC4-4210-923E-7C213787BA2B}" srcOrd="0" destOrd="0" presId="urn:microsoft.com/office/officeart/2008/layout/NameandTitleOrganizationalChart"/>
    <dgm:cxn modelId="{800F70BB-E1A8-4238-A738-B24B95FA7BF7}" type="presOf" srcId="{AA744469-2196-4910-85D3-E1B4FFA45510}" destId="{315115C7-32DD-4881-921B-3CF2EF4C7DBC}" srcOrd="0" destOrd="0" presId="urn:microsoft.com/office/officeart/2008/layout/NameandTitleOrganizationalChart"/>
    <dgm:cxn modelId="{A9B6E4BD-C597-491B-9130-B618B1D559FD}" type="presOf" srcId="{A63DFA7F-0A8D-4309-9F0A-114B8C0A395B}" destId="{1A199CA8-A8CE-4F9D-A0E0-DA1275F44F82}" srcOrd="0" destOrd="0" presId="urn:microsoft.com/office/officeart/2008/layout/NameandTitleOrganizationalChart"/>
    <dgm:cxn modelId="{4198F7BF-AE94-41E4-B8A8-11F2C5E785E1}" type="presOf" srcId="{030F4449-7380-4A12-89E5-1209135D215F}" destId="{267B210A-E2FD-4709-ADFE-D60B21938D51}" srcOrd="1" destOrd="0" presId="urn:microsoft.com/office/officeart/2008/layout/NameandTitleOrganizationalChart"/>
    <dgm:cxn modelId="{99326FC4-B7CA-4BA8-BE73-D5EA044E15C3}" type="presOf" srcId="{5FF4266D-95C8-4999-8F6D-04E3E983133D}" destId="{EBB50D7B-6D41-42D6-8617-9E0E178EA881}" srcOrd="1" destOrd="0" presId="urn:microsoft.com/office/officeart/2008/layout/NameandTitleOrganizationalChart"/>
    <dgm:cxn modelId="{922E73C4-AF60-4219-9376-A22587F20E26}" type="presOf" srcId="{616330F8-C32B-4080-ACC4-77236CBE14AD}" destId="{AB83C9C1-E4D0-4749-A4D8-861558605971}" srcOrd="0" destOrd="0" presId="urn:microsoft.com/office/officeart/2008/layout/NameandTitleOrganizationalChart"/>
    <dgm:cxn modelId="{DF6111CA-00BD-449D-8CEA-63DB5E79C86B}" type="presOf" srcId="{D1FE82BD-06B6-4F89-B1D5-8F201AEFD70B}" destId="{249C1780-99B5-446C-8E70-96DF35B97D24}" srcOrd="1" destOrd="0" presId="urn:microsoft.com/office/officeart/2008/layout/NameandTitleOrganizationalChart"/>
    <dgm:cxn modelId="{5AC520EA-81A2-496D-977A-9C4CA07DE200}" type="presOf" srcId="{A6A01AB2-3446-4E98-AEE6-95B7B6CF7DF5}" destId="{B34B061F-F304-47C7-8D66-94B251271DC3}" srcOrd="0" destOrd="0" presId="urn:microsoft.com/office/officeart/2008/layout/NameandTitleOrganizationalChart"/>
    <dgm:cxn modelId="{C94790EF-1952-41C6-B4D5-F9D64188C880}" type="presOf" srcId="{B9A36C4F-9027-4702-8EBC-ED994F8ED41E}" destId="{E08231DE-40FA-4C5A-9859-F8312103A39A}" srcOrd="0" destOrd="0" presId="urn:microsoft.com/office/officeart/2008/layout/NameandTitleOrganizationalChart"/>
    <dgm:cxn modelId="{AB1AA1F3-1583-40A0-A21E-D3A5496762C9}" srcId="{5FF4266D-95C8-4999-8F6D-04E3E983133D}" destId="{D1FE82BD-06B6-4F89-B1D5-8F201AEFD70B}" srcOrd="3" destOrd="0" parTransId="{AA744469-2196-4910-85D3-E1B4FFA45510}" sibTransId="{D4D78FC6-BFE1-4904-AB03-421E87D84B41}"/>
    <dgm:cxn modelId="{7DAA8BF4-0852-4986-A6AC-314222E350A3}" type="presOf" srcId="{F3C315EF-98AE-43B7-BB99-B03FAD972FAC}" destId="{E2E25081-A713-46AA-BD7D-A44D9DA92F99}" srcOrd="0" destOrd="0" presId="urn:microsoft.com/office/officeart/2008/layout/NameandTitleOrganizationalChart"/>
    <dgm:cxn modelId="{B37019F9-787B-43F5-96F8-A4778B0649F1}" type="presOf" srcId="{13D31141-13E5-4A46-9402-66776B3CCFFA}" destId="{5643791B-D254-4D68-A10D-868F9D461479}" srcOrd="0" destOrd="0" presId="urn:microsoft.com/office/officeart/2008/layout/NameandTitleOrganizationalChart"/>
    <dgm:cxn modelId="{AB2EF9FA-D22B-4420-A557-94A158A29E0B}" srcId="{5FF4266D-95C8-4999-8F6D-04E3E983133D}" destId="{B28ACFBF-71C9-4CF3-AE05-5089473DD906}" srcOrd="4" destOrd="0" parTransId="{0CABBF1D-02AB-40F5-AC57-1721154FB93D}" sibTransId="{3347ECC8-CCC5-4024-9738-BFD75968CF77}"/>
    <dgm:cxn modelId="{677DA3FF-7A88-40A5-BD1B-3C91A2338B13}" type="presOf" srcId="{AFE185E7-5FFC-488B-AFD4-37CA2A93EFF6}" destId="{5C329F62-337E-4410-8DD4-85BFF4AAA386}" srcOrd="0" destOrd="0" presId="urn:microsoft.com/office/officeart/2008/layout/NameandTitleOrganizationalChart"/>
    <dgm:cxn modelId="{58330DFF-11B7-460B-8AC0-978C5951396F}" type="presParOf" srcId="{FEEBBE83-A427-478F-8651-A7C40F89F7FE}" destId="{9C93DFDD-4B43-4251-96FF-FD7327345FD2}" srcOrd="0" destOrd="0" presId="urn:microsoft.com/office/officeart/2008/layout/NameandTitleOrganizationalChart"/>
    <dgm:cxn modelId="{BF1F304E-DBCE-4435-9121-71B16EB8FD4C}" type="presParOf" srcId="{9C93DFDD-4B43-4251-96FF-FD7327345FD2}" destId="{712D8B1F-811B-4970-8BD6-6080F8FD6675}" srcOrd="0" destOrd="0" presId="urn:microsoft.com/office/officeart/2008/layout/NameandTitleOrganizationalChart"/>
    <dgm:cxn modelId="{441473F3-D488-4FE1-A058-8F02F5F79EBC}" type="presParOf" srcId="{712D8B1F-811B-4970-8BD6-6080F8FD6675}" destId="{7E5C9B10-6BBC-4E67-8702-EF56B1F5A3B2}" srcOrd="0" destOrd="0" presId="urn:microsoft.com/office/officeart/2008/layout/NameandTitleOrganizationalChart"/>
    <dgm:cxn modelId="{C2D07A6C-0A89-4174-B094-04161EE824D7}" type="presParOf" srcId="{712D8B1F-811B-4970-8BD6-6080F8FD6675}" destId="{13D9CD5E-A46E-45B9-8520-9AB97404F010}" srcOrd="1" destOrd="0" presId="urn:microsoft.com/office/officeart/2008/layout/NameandTitleOrganizationalChart"/>
    <dgm:cxn modelId="{00C81C70-B9DD-475A-8976-F3AFF40F884A}" type="presParOf" srcId="{712D8B1F-811B-4970-8BD6-6080F8FD6675}" destId="{EBB50D7B-6D41-42D6-8617-9E0E178EA881}" srcOrd="2" destOrd="0" presId="urn:microsoft.com/office/officeart/2008/layout/NameandTitleOrganizationalChart"/>
    <dgm:cxn modelId="{AD9EBCB6-F449-4579-8C9D-A78C398AE222}" type="presParOf" srcId="{9C93DFDD-4B43-4251-96FF-FD7327345FD2}" destId="{2DF000B3-8643-4A62-81AC-1BBA13ACE7F7}" srcOrd="1" destOrd="0" presId="urn:microsoft.com/office/officeart/2008/layout/NameandTitleOrganizationalChart"/>
    <dgm:cxn modelId="{B24566FC-2647-46BE-82F7-078B008CBCE7}" type="presParOf" srcId="{2DF000B3-8643-4A62-81AC-1BBA13ACE7F7}" destId="{315115C7-32DD-4881-921B-3CF2EF4C7DBC}" srcOrd="0" destOrd="0" presId="urn:microsoft.com/office/officeart/2008/layout/NameandTitleOrganizationalChart"/>
    <dgm:cxn modelId="{B38E623C-2D0B-4D8B-9F38-37978DCD6050}" type="presParOf" srcId="{2DF000B3-8643-4A62-81AC-1BBA13ACE7F7}" destId="{823C8F6E-7B69-408E-9CA4-1E232A29C2B9}" srcOrd="1" destOrd="0" presId="urn:microsoft.com/office/officeart/2008/layout/NameandTitleOrganizationalChart"/>
    <dgm:cxn modelId="{C08D147F-7CF3-47BD-89AF-7095E190210C}" type="presParOf" srcId="{823C8F6E-7B69-408E-9CA4-1E232A29C2B9}" destId="{0F82016C-330C-4067-8616-47E909A83628}" srcOrd="0" destOrd="0" presId="urn:microsoft.com/office/officeart/2008/layout/NameandTitleOrganizationalChart"/>
    <dgm:cxn modelId="{7CC50075-2F13-4C42-BA17-34526199DCAD}" type="presParOf" srcId="{0F82016C-330C-4067-8616-47E909A83628}" destId="{3F31E2F5-1497-4E91-A0E0-5CE3241B9497}" srcOrd="0" destOrd="0" presId="urn:microsoft.com/office/officeart/2008/layout/NameandTitleOrganizationalChart"/>
    <dgm:cxn modelId="{0FA0B674-D68E-4E85-B72E-85571CAB7D86}" type="presParOf" srcId="{0F82016C-330C-4067-8616-47E909A83628}" destId="{25893F88-E168-4F21-9010-C515A13C0132}" srcOrd="1" destOrd="0" presId="urn:microsoft.com/office/officeart/2008/layout/NameandTitleOrganizationalChart"/>
    <dgm:cxn modelId="{6B2A2866-B0F8-4B80-9346-A88715E104E3}" type="presParOf" srcId="{0F82016C-330C-4067-8616-47E909A83628}" destId="{249C1780-99B5-446C-8E70-96DF35B97D24}" srcOrd="2" destOrd="0" presId="urn:microsoft.com/office/officeart/2008/layout/NameandTitleOrganizationalChart"/>
    <dgm:cxn modelId="{83B3FF29-21A5-4A11-873B-AFD8BC6E360F}" type="presParOf" srcId="{823C8F6E-7B69-408E-9CA4-1E232A29C2B9}" destId="{41B8132A-51EF-42A0-A51D-C59FEDEA912C}" srcOrd="1" destOrd="0" presId="urn:microsoft.com/office/officeart/2008/layout/NameandTitleOrganizationalChart"/>
    <dgm:cxn modelId="{4F96E373-6C13-457B-9F61-93B39383FA8E}" type="presParOf" srcId="{823C8F6E-7B69-408E-9CA4-1E232A29C2B9}" destId="{EDDB0A27-EEBF-4A60-BC46-EF2FEA6D435D}" srcOrd="2" destOrd="0" presId="urn:microsoft.com/office/officeart/2008/layout/NameandTitleOrganizationalChart"/>
    <dgm:cxn modelId="{9FA59BA0-4BD8-4444-8B9E-41AD6A921C7E}" type="presParOf" srcId="{2DF000B3-8643-4A62-81AC-1BBA13ACE7F7}" destId="{4A13BDE6-CB44-43FF-84E8-D1A4C93E1007}" srcOrd="2" destOrd="0" presId="urn:microsoft.com/office/officeart/2008/layout/NameandTitleOrganizationalChart"/>
    <dgm:cxn modelId="{33ABF8B5-D7EF-43A3-AB47-A64CB3CF00A8}" type="presParOf" srcId="{2DF000B3-8643-4A62-81AC-1BBA13ACE7F7}" destId="{3CD8E2B3-D655-42B1-8291-C26274FD8572}" srcOrd="3" destOrd="0" presId="urn:microsoft.com/office/officeart/2008/layout/NameandTitleOrganizationalChart"/>
    <dgm:cxn modelId="{7AD74EC1-0460-419D-9D21-DC7EEBE904ED}" type="presParOf" srcId="{3CD8E2B3-D655-42B1-8291-C26274FD8572}" destId="{25A6B1F8-3A5C-4198-AA66-75D59B6C1ADE}" srcOrd="0" destOrd="0" presId="urn:microsoft.com/office/officeart/2008/layout/NameandTitleOrganizationalChart"/>
    <dgm:cxn modelId="{36B12EF8-6DA2-42EF-945F-9C9FB67875A2}" type="presParOf" srcId="{25A6B1F8-3A5C-4198-AA66-75D59B6C1ADE}" destId="{8BB1AE46-7B4C-416E-85BD-81B9C233FB0D}" srcOrd="0" destOrd="0" presId="urn:microsoft.com/office/officeart/2008/layout/NameandTitleOrganizationalChart"/>
    <dgm:cxn modelId="{B6E9E4A2-402E-4896-9FEF-A96A728FC5BE}" type="presParOf" srcId="{25A6B1F8-3A5C-4198-AA66-75D59B6C1ADE}" destId="{C4DCD032-3D2F-440A-8F28-9AE8E2D322BB}" srcOrd="1" destOrd="0" presId="urn:microsoft.com/office/officeart/2008/layout/NameandTitleOrganizationalChart"/>
    <dgm:cxn modelId="{B4E17B8B-EC87-413E-AAAC-F25A157DD103}" type="presParOf" srcId="{25A6B1F8-3A5C-4198-AA66-75D59B6C1ADE}" destId="{DB2E2D2F-FF9D-459E-8B41-FF4F813D8601}" srcOrd="2" destOrd="0" presId="urn:microsoft.com/office/officeart/2008/layout/NameandTitleOrganizationalChart"/>
    <dgm:cxn modelId="{F2E606E0-4411-4B2C-A8AF-321F580B31C6}" type="presParOf" srcId="{3CD8E2B3-D655-42B1-8291-C26274FD8572}" destId="{07A3E458-4319-42DC-A0DD-076536FDFEE2}" srcOrd="1" destOrd="0" presId="urn:microsoft.com/office/officeart/2008/layout/NameandTitleOrganizationalChart"/>
    <dgm:cxn modelId="{F8CE1CA8-B21C-40A1-9AF7-696BA0CD8297}" type="presParOf" srcId="{3CD8E2B3-D655-42B1-8291-C26274FD8572}" destId="{5F6CF283-8095-43DE-BC0B-EF31A7B92265}" srcOrd="2" destOrd="0" presId="urn:microsoft.com/office/officeart/2008/layout/NameandTitleOrganizationalChart"/>
    <dgm:cxn modelId="{84AA8F2A-4B78-4BE9-876D-E0983C34880C}" type="presParOf" srcId="{2DF000B3-8643-4A62-81AC-1BBA13ACE7F7}" destId="{1A199CA8-A8CE-4F9D-A0E0-DA1275F44F82}" srcOrd="4" destOrd="0" presId="urn:microsoft.com/office/officeart/2008/layout/NameandTitleOrganizationalChart"/>
    <dgm:cxn modelId="{6F8479BC-95AB-4A37-BDFF-586DB6EFD43F}" type="presParOf" srcId="{2DF000B3-8643-4A62-81AC-1BBA13ACE7F7}" destId="{7B77AB8E-7697-489F-841D-FBED74FB8F40}" srcOrd="5" destOrd="0" presId="urn:microsoft.com/office/officeart/2008/layout/NameandTitleOrganizationalChart"/>
    <dgm:cxn modelId="{6869F178-67D7-493F-910B-D4FA4A2A5217}" type="presParOf" srcId="{7B77AB8E-7697-489F-841D-FBED74FB8F40}" destId="{0AA4187B-C8FC-4A1B-A582-552440F7DAA3}" srcOrd="0" destOrd="0" presId="urn:microsoft.com/office/officeart/2008/layout/NameandTitleOrganizationalChart"/>
    <dgm:cxn modelId="{E2D1BC0C-855B-4FDC-AEE1-058F753F59EF}" type="presParOf" srcId="{0AA4187B-C8FC-4A1B-A582-552440F7DAA3}" destId="{95B88456-4B1E-44EE-9C69-C8B850DE2D86}" srcOrd="0" destOrd="0" presId="urn:microsoft.com/office/officeart/2008/layout/NameandTitleOrganizationalChart"/>
    <dgm:cxn modelId="{26E09FE5-9BB3-4ED7-A03A-511412D25DF9}" type="presParOf" srcId="{0AA4187B-C8FC-4A1B-A582-552440F7DAA3}" destId="{E6C9196B-E0F0-4DC0-815B-F278DD6194DD}" srcOrd="1" destOrd="0" presId="urn:microsoft.com/office/officeart/2008/layout/NameandTitleOrganizationalChart"/>
    <dgm:cxn modelId="{721F07E1-BBCA-4237-85AA-D219C3F5D0EA}" type="presParOf" srcId="{0AA4187B-C8FC-4A1B-A582-552440F7DAA3}" destId="{91FB12A3-DE9E-42AD-9BCD-C80FFEA985A6}" srcOrd="2" destOrd="0" presId="urn:microsoft.com/office/officeart/2008/layout/NameandTitleOrganizationalChart"/>
    <dgm:cxn modelId="{AA4AAC76-FA9D-4745-8F66-AF574AE6EEC4}" type="presParOf" srcId="{7B77AB8E-7697-489F-841D-FBED74FB8F40}" destId="{CE635C3C-F1E9-481E-81FE-CE280DB02AF8}" srcOrd="1" destOrd="0" presId="urn:microsoft.com/office/officeart/2008/layout/NameandTitleOrganizationalChart"/>
    <dgm:cxn modelId="{8F992CDE-A204-403C-ADEA-BA0B6E2BB186}" type="presParOf" srcId="{7B77AB8E-7697-489F-841D-FBED74FB8F40}" destId="{6C6C3408-8721-4E81-BDA4-742B5F0A7D98}" srcOrd="2" destOrd="0" presId="urn:microsoft.com/office/officeart/2008/layout/NameandTitleOrganizationalChart"/>
    <dgm:cxn modelId="{0ADC0338-65EB-4F12-B4F1-53ECC40C6B05}" type="presParOf" srcId="{9C93DFDD-4B43-4251-96FF-FD7327345FD2}" destId="{B20502C2-4D78-46B8-95AB-99EE1333DCED}" srcOrd="2" destOrd="0" presId="urn:microsoft.com/office/officeart/2008/layout/NameandTitleOrganizationalChart"/>
    <dgm:cxn modelId="{32D129BB-1A3F-440C-B837-6C37E379C0F0}" type="presParOf" srcId="{B20502C2-4D78-46B8-95AB-99EE1333DCED}" destId="{E2E25081-A713-46AA-BD7D-A44D9DA92F99}" srcOrd="0" destOrd="0" presId="urn:microsoft.com/office/officeart/2008/layout/NameandTitleOrganizationalChart"/>
    <dgm:cxn modelId="{58D4CF55-C9B3-4BB9-B9B4-87B5D8CE3CDA}" type="presParOf" srcId="{B20502C2-4D78-46B8-95AB-99EE1333DCED}" destId="{FB05C964-4215-4111-91C1-0CC4B9AC90FB}" srcOrd="1" destOrd="0" presId="urn:microsoft.com/office/officeart/2008/layout/NameandTitleOrganizationalChart"/>
    <dgm:cxn modelId="{62BC8B82-11FB-4CD1-A0CC-63FE8E9EB464}" type="presParOf" srcId="{FB05C964-4215-4111-91C1-0CC4B9AC90FB}" destId="{76ACA7A1-62F7-4C91-BE00-63AC1F95526A}" srcOrd="0" destOrd="0" presId="urn:microsoft.com/office/officeart/2008/layout/NameandTitleOrganizationalChart"/>
    <dgm:cxn modelId="{F690F833-2815-44F3-AC7E-966708C0D459}" type="presParOf" srcId="{76ACA7A1-62F7-4C91-BE00-63AC1F95526A}" destId="{D4145C95-B12B-407D-A57E-61864351223C}" srcOrd="0" destOrd="0" presId="urn:microsoft.com/office/officeart/2008/layout/NameandTitleOrganizationalChart"/>
    <dgm:cxn modelId="{21A944CB-579C-480B-906E-2357B495D82D}" type="presParOf" srcId="{76ACA7A1-62F7-4C91-BE00-63AC1F95526A}" destId="{AB83C9C1-E4D0-4749-A4D8-861558605971}" srcOrd="1" destOrd="0" presId="urn:microsoft.com/office/officeart/2008/layout/NameandTitleOrganizationalChart"/>
    <dgm:cxn modelId="{6B30DBEE-F45C-487A-A47F-AF2356192FB2}" type="presParOf" srcId="{76ACA7A1-62F7-4C91-BE00-63AC1F95526A}" destId="{B153C572-8289-4B71-8BBF-E2899B60CC73}" srcOrd="2" destOrd="0" presId="urn:microsoft.com/office/officeart/2008/layout/NameandTitleOrganizationalChart"/>
    <dgm:cxn modelId="{E8DF1D6B-1632-42EC-9974-05A23600D1C9}" type="presParOf" srcId="{FB05C964-4215-4111-91C1-0CC4B9AC90FB}" destId="{23B1EDB8-F9F0-4B3B-900C-81FC7B40C4E0}" srcOrd="1" destOrd="0" presId="urn:microsoft.com/office/officeart/2008/layout/NameandTitleOrganizationalChart"/>
    <dgm:cxn modelId="{7230EF5D-1BE5-43C5-B8F6-40B2877FEF69}" type="presParOf" srcId="{23B1EDB8-F9F0-4B3B-900C-81FC7B40C4E0}" destId="{5FDBC3AA-FACC-4230-990F-83C3E4E24917}" srcOrd="0" destOrd="0" presId="urn:microsoft.com/office/officeart/2008/layout/NameandTitleOrganizationalChart"/>
    <dgm:cxn modelId="{445364C8-EB92-441A-926C-64EE97F5D918}" type="presParOf" srcId="{23B1EDB8-F9F0-4B3B-900C-81FC7B40C4E0}" destId="{9CEC5718-8601-44B7-8C03-AF454C9DF1FA}" srcOrd="1" destOrd="0" presId="urn:microsoft.com/office/officeart/2008/layout/NameandTitleOrganizationalChart"/>
    <dgm:cxn modelId="{2AEF24B0-4F80-4F64-B403-3C33D56B69CB}" type="presParOf" srcId="{9CEC5718-8601-44B7-8C03-AF454C9DF1FA}" destId="{F98D8E4C-320C-4445-9BD8-44819A6D44BB}" srcOrd="0" destOrd="0" presId="urn:microsoft.com/office/officeart/2008/layout/NameandTitleOrganizationalChart"/>
    <dgm:cxn modelId="{DCD04AA1-0903-4F02-9BDF-51AD27A1DCA9}" type="presParOf" srcId="{F98D8E4C-320C-4445-9BD8-44819A6D44BB}" destId="{6F3CC923-E446-45B6-8BEB-2813152D34DB}" srcOrd="0" destOrd="0" presId="urn:microsoft.com/office/officeart/2008/layout/NameandTitleOrganizationalChart"/>
    <dgm:cxn modelId="{66D02C27-34EB-4172-9FC8-D127350A27C8}" type="presParOf" srcId="{F98D8E4C-320C-4445-9BD8-44819A6D44BB}" destId="{EDF69EAC-8722-46A2-8716-16DD8CEA4EB3}" srcOrd="1" destOrd="0" presId="urn:microsoft.com/office/officeart/2008/layout/NameandTitleOrganizationalChart"/>
    <dgm:cxn modelId="{BA49A8EB-C712-4362-9FD4-5132E3972895}" type="presParOf" srcId="{F98D8E4C-320C-4445-9BD8-44819A6D44BB}" destId="{267B210A-E2FD-4709-ADFE-D60B21938D51}" srcOrd="2" destOrd="0" presId="urn:microsoft.com/office/officeart/2008/layout/NameandTitleOrganizationalChart"/>
    <dgm:cxn modelId="{8280599A-34EC-4DE9-805D-34B34D7ED5CC}" type="presParOf" srcId="{9CEC5718-8601-44B7-8C03-AF454C9DF1FA}" destId="{2B6C6F4C-6015-4B94-AA8F-F3B4CC07BCA2}" srcOrd="1" destOrd="0" presId="urn:microsoft.com/office/officeart/2008/layout/NameandTitleOrganizationalChart"/>
    <dgm:cxn modelId="{65B5F685-8541-44D8-9D7C-3A4DBF5A3659}" type="presParOf" srcId="{9CEC5718-8601-44B7-8C03-AF454C9DF1FA}" destId="{66C006D7-A6F8-4911-9183-6E90ABC5ABAE}" srcOrd="2" destOrd="0" presId="urn:microsoft.com/office/officeart/2008/layout/NameandTitleOrganizationalChart"/>
    <dgm:cxn modelId="{C769DE45-40F4-4D6D-90B9-D07444080E85}" type="presParOf" srcId="{FB05C964-4215-4111-91C1-0CC4B9AC90FB}" destId="{8D656F87-D23B-4DD7-9CA6-E66027A84C15}" srcOrd="2" destOrd="0" presId="urn:microsoft.com/office/officeart/2008/layout/NameandTitleOrganizationalChart"/>
    <dgm:cxn modelId="{F2828930-DC77-4F36-A3A4-3CC82F72DD0C}" type="presParOf" srcId="{B20502C2-4D78-46B8-95AB-99EE1333DCED}" destId="{E08231DE-40FA-4C5A-9859-F8312103A39A}" srcOrd="2" destOrd="0" presId="urn:microsoft.com/office/officeart/2008/layout/NameandTitleOrganizationalChart"/>
    <dgm:cxn modelId="{67725D68-5C28-4755-915D-134F6816557C}" type="presParOf" srcId="{B20502C2-4D78-46B8-95AB-99EE1333DCED}" destId="{F94A21FF-0E06-4086-AD08-4D9151EC1395}" srcOrd="3" destOrd="0" presId="urn:microsoft.com/office/officeart/2008/layout/NameandTitleOrganizationalChart"/>
    <dgm:cxn modelId="{DF49893B-F3BC-4FCE-9F43-9D23019A5205}" type="presParOf" srcId="{F94A21FF-0E06-4086-AD08-4D9151EC1395}" destId="{57E4CA6D-0EB9-48B7-93FC-CE97A1C6AB1C}" srcOrd="0" destOrd="0" presId="urn:microsoft.com/office/officeart/2008/layout/NameandTitleOrganizationalChart"/>
    <dgm:cxn modelId="{FC0D29BD-1CB7-41D2-BABF-7DBD40C60255}" type="presParOf" srcId="{57E4CA6D-0EB9-48B7-93FC-CE97A1C6AB1C}" destId="{0A2D15FF-C179-4F80-82A5-6A609DCE53AD}" srcOrd="0" destOrd="0" presId="urn:microsoft.com/office/officeart/2008/layout/NameandTitleOrganizationalChart"/>
    <dgm:cxn modelId="{96C27364-073F-43ED-B6E4-8AD762BC80F5}" type="presParOf" srcId="{57E4CA6D-0EB9-48B7-93FC-CE97A1C6AB1C}" destId="{5643791B-D254-4D68-A10D-868F9D461479}" srcOrd="1" destOrd="0" presId="urn:microsoft.com/office/officeart/2008/layout/NameandTitleOrganizationalChart"/>
    <dgm:cxn modelId="{E8D8421A-069C-4144-A291-3DCB303950B1}" type="presParOf" srcId="{57E4CA6D-0EB9-48B7-93FC-CE97A1C6AB1C}" destId="{13B39154-DD78-4EC8-9B00-F392F7E16FFD}" srcOrd="2" destOrd="0" presId="urn:microsoft.com/office/officeart/2008/layout/NameandTitleOrganizationalChart"/>
    <dgm:cxn modelId="{689CE772-A8BE-412A-A6EB-CB34A840E306}" type="presParOf" srcId="{F94A21FF-0E06-4086-AD08-4D9151EC1395}" destId="{3C7CE16C-B7A2-4F32-85CF-E95A763CD2D8}" srcOrd="1" destOrd="0" presId="urn:microsoft.com/office/officeart/2008/layout/NameandTitleOrganizationalChart"/>
    <dgm:cxn modelId="{0AFEF386-70EF-42CF-9288-98E37932C9D3}" type="presParOf" srcId="{F94A21FF-0E06-4086-AD08-4D9151EC1395}" destId="{58DF0393-A467-4198-A1DC-DDCED7124861}" srcOrd="2" destOrd="0" presId="urn:microsoft.com/office/officeart/2008/layout/NameandTitleOrganizationalChart"/>
    <dgm:cxn modelId="{A869331C-0336-46B4-B0B6-4C13A4818929}" type="presParOf" srcId="{B20502C2-4D78-46B8-95AB-99EE1333DCED}" destId="{26BA4B7E-BBC4-4210-923E-7C213787BA2B}" srcOrd="4" destOrd="0" presId="urn:microsoft.com/office/officeart/2008/layout/NameandTitleOrganizationalChart"/>
    <dgm:cxn modelId="{2FF97FBD-7DC0-4A3C-975F-7D6E2ACD56FC}" type="presParOf" srcId="{B20502C2-4D78-46B8-95AB-99EE1333DCED}" destId="{BCED667D-F4E4-4186-A916-EEA7D29E5071}" srcOrd="5" destOrd="0" presId="urn:microsoft.com/office/officeart/2008/layout/NameandTitleOrganizationalChart"/>
    <dgm:cxn modelId="{79964E87-EE40-4AEF-84F6-42301FF8BCC2}" type="presParOf" srcId="{BCED667D-F4E4-4186-A916-EEA7D29E5071}" destId="{3247CE74-EA69-4FE6-821C-7EB5B746F4AD}" srcOrd="0" destOrd="0" presId="urn:microsoft.com/office/officeart/2008/layout/NameandTitleOrganizationalChart"/>
    <dgm:cxn modelId="{541E71F7-FD8E-428E-BEAD-62BEFA6DA002}" type="presParOf" srcId="{3247CE74-EA69-4FE6-821C-7EB5B746F4AD}" destId="{B34B061F-F304-47C7-8D66-94B251271DC3}" srcOrd="0" destOrd="0" presId="urn:microsoft.com/office/officeart/2008/layout/NameandTitleOrganizationalChart"/>
    <dgm:cxn modelId="{2B83447B-413A-4E1E-9F6B-FEB27C4407D0}" type="presParOf" srcId="{3247CE74-EA69-4FE6-821C-7EB5B746F4AD}" destId="{5C329F62-337E-4410-8DD4-85BFF4AAA386}" srcOrd="1" destOrd="0" presId="urn:microsoft.com/office/officeart/2008/layout/NameandTitleOrganizationalChart"/>
    <dgm:cxn modelId="{C64B8078-9C6F-4704-AAEA-8A4D6C18670B}" type="presParOf" srcId="{3247CE74-EA69-4FE6-821C-7EB5B746F4AD}" destId="{E71087E4-9409-417F-B9CB-ED3460E15966}" srcOrd="2" destOrd="0" presId="urn:microsoft.com/office/officeart/2008/layout/NameandTitleOrganizationalChart"/>
    <dgm:cxn modelId="{7E082F5F-FF31-4D8F-AC02-43CEF000C61D}" type="presParOf" srcId="{BCED667D-F4E4-4186-A916-EEA7D29E5071}" destId="{5B2D0E98-12E8-48C0-BF1B-2FE168516B41}" srcOrd="1" destOrd="0" presId="urn:microsoft.com/office/officeart/2008/layout/NameandTitleOrganizationalChart"/>
    <dgm:cxn modelId="{D8109401-E329-44B1-B522-45335CD42AD7}" type="presParOf" srcId="{BCED667D-F4E4-4186-A916-EEA7D29E5071}" destId="{37D2B084-7C06-46FD-AE40-419FFDD4D72B}" srcOrd="2" destOrd="0" presId="urn:microsoft.com/office/officeart/2008/layout/NameandTitleOrganizational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BA4B7E-BBC4-4210-923E-7C213787BA2B}">
      <dsp:nvSpPr>
        <dsp:cNvPr id="0" name=""/>
        <dsp:cNvSpPr/>
      </dsp:nvSpPr>
      <dsp:spPr>
        <a:xfrm>
          <a:off x="2743200" y="420878"/>
          <a:ext cx="212821" cy="1326225"/>
        </a:xfrm>
        <a:custGeom>
          <a:avLst/>
          <a:gdLst/>
          <a:ahLst/>
          <a:cxnLst/>
          <a:rect l="0" t="0" r="0" b="0"/>
          <a:pathLst>
            <a:path>
              <a:moveTo>
                <a:pt x="0" y="0"/>
              </a:moveTo>
              <a:lnTo>
                <a:pt x="0" y="1326225"/>
              </a:lnTo>
              <a:lnTo>
                <a:pt x="212821" y="132622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08231DE-40FA-4C5A-9859-F8312103A39A}">
      <dsp:nvSpPr>
        <dsp:cNvPr id="0" name=""/>
        <dsp:cNvSpPr/>
      </dsp:nvSpPr>
      <dsp:spPr>
        <a:xfrm>
          <a:off x="2743200" y="420878"/>
          <a:ext cx="105160" cy="434203"/>
        </a:xfrm>
        <a:custGeom>
          <a:avLst/>
          <a:gdLst/>
          <a:ahLst/>
          <a:cxnLst/>
          <a:rect l="0" t="0" r="0" b="0"/>
          <a:pathLst>
            <a:path>
              <a:moveTo>
                <a:pt x="0" y="0"/>
              </a:moveTo>
              <a:lnTo>
                <a:pt x="0" y="434203"/>
              </a:lnTo>
              <a:lnTo>
                <a:pt x="105160" y="4342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FDBC3AA-FACC-4230-990F-83C3E4E24917}">
      <dsp:nvSpPr>
        <dsp:cNvPr id="0" name=""/>
        <dsp:cNvSpPr/>
      </dsp:nvSpPr>
      <dsp:spPr>
        <a:xfrm>
          <a:off x="1868560" y="1064915"/>
          <a:ext cx="91440" cy="272942"/>
        </a:xfrm>
        <a:custGeom>
          <a:avLst/>
          <a:gdLst/>
          <a:ahLst/>
          <a:cxnLst/>
          <a:rect l="0" t="0" r="0" b="0"/>
          <a:pathLst>
            <a:path>
              <a:moveTo>
                <a:pt x="46781" y="0"/>
              </a:moveTo>
              <a:lnTo>
                <a:pt x="46781" y="175019"/>
              </a:lnTo>
              <a:lnTo>
                <a:pt x="45720" y="175019"/>
              </a:lnTo>
              <a:lnTo>
                <a:pt x="45720" y="27294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E25081-A713-46AA-BD7D-A44D9DA92F99}">
      <dsp:nvSpPr>
        <dsp:cNvPr id="0" name=""/>
        <dsp:cNvSpPr/>
      </dsp:nvSpPr>
      <dsp:spPr>
        <a:xfrm>
          <a:off x="2320617" y="420878"/>
          <a:ext cx="422582" cy="434203"/>
        </a:xfrm>
        <a:custGeom>
          <a:avLst/>
          <a:gdLst/>
          <a:ahLst/>
          <a:cxnLst/>
          <a:rect l="0" t="0" r="0" b="0"/>
          <a:pathLst>
            <a:path>
              <a:moveTo>
                <a:pt x="422582" y="0"/>
              </a:moveTo>
              <a:lnTo>
                <a:pt x="422582" y="434203"/>
              </a:lnTo>
              <a:lnTo>
                <a:pt x="0" y="4342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A199CA8-A8CE-4F9D-A0E0-DA1275F44F82}">
      <dsp:nvSpPr>
        <dsp:cNvPr id="0" name=""/>
        <dsp:cNvSpPr/>
      </dsp:nvSpPr>
      <dsp:spPr>
        <a:xfrm>
          <a:off x="2743200" y="420878"/>
          <a:ext cx="1087373" cy="2275928"/>
        </a:xfrm>
        <a:custGeom>
          <a:avLst/>
          <a:gdLst/>
          <a:ahLst/>
          <a:cxnLst/>
          <a:rect l="0" t="0" r="0" b="0"/>
          <a:pathLst>
            <a:path>
              <a:moveTo>
                <a:pt x="0" y="0"/>
              </a:moveTo>
              <a:lnTo>
                <a:pt x="0" y="2178006"/>
              </a:lnTo>
              <a:lnTo>
                <a:pt x="1087373" y="2178006"/>
              </a:lnTo>
              <a:lnTo>
                <a:pt x="1087373" y="22759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13BDE6-CB44-43FF-84E8-D1A4C93E1007}">
      <dsp:nvSpPr>
        <dsp:cNvPr id="0" name=""/>
        <dsp:cNvSpPr/>
      </dsp:nvSpPr>
      <dsp:spPr>
        <a:xfrm>
          <a:off x="2630336" y="420878"/>
          <a:ext cx="91440" cy="2266200"/>
        </a:xfrm>
        <a:custGeom>
          <a:avLst/>
          <a:gdLst/>
          <a:ahLst/>
          <a:cxnLst/>
          <a:rect l="0" t="0" r="0" b="0"/>
          <a:pathLst>
            <a:path>
              <a:moveTo>
                <a:pt x="112863" y="0"/>
              </a:moveTo>
              <a:lnTo>
                <a:pt x="112863" y="2168278"/>
              </a:lnTo>
              <a:lnTo>
                <a:pt x="45720" y="2168278"/>
              </a:lnTo>
              <a:lnTo>
                <a:pt x="45720" y="226620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5115C7-32DD-4881-921B-3CF2EF4C7DBC}">
      <dsp:nvSpPr>
        <dsp:cNvPr id="0" name=""/>
        <dsp:cNvSpPr/>
      </dsp:nvSpPr>
      <dsp:spPr>
        <a:xfrm>
          <a:off x="1361463" y="420878"/>
          <a:ext cx="1381736" cy="2275928"/>
        </a:xfrm>
        <a:custGeom>
          <a:avLst/>
          <a:gdLst/>
          <a:ahLst/>
          <a:cxnLst/>
          <a:rect l="0" t="0" r="0" b="0"/>
          <a:pathLst>
            <a:path>
              <a:moveTo>
                <a:pt x="1381736" y="0"/>
              </a:moveTo>
              <a:lnTo>
                <a:pt x="1381736" y="2178006"/>
              </a:lnTo>
              <a:lnTo>
                <a:pt x="0" y="2178006"/>
              </a:lnTo>
              <a:lnTo>
                <a:pt x="0" y="22759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5C9B10-6BBC-4E67-8702-EF56B1F5A3B2}">
      <dsp:nvSpPr>
        <dsp:cNvPr id="0" name=""/>
        <dsp:cNvSpPr/>
      </dsp:nvSpPr>
      <dsp:spPr>
        <a:xfrm>
          <a:off x="2224803" y="1210"/>
          <a:ext cx="1036792" cy="419667"/>
        </a:xfrm>
        <a:prstGeom prst="rect">
          <a:avLst/>
        </a:prstGeom>
        <a:solidFill>
          <a:srgbClr val="FF000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b="1" kern="1200"/>
            <a:t>Vláda ČR</a:t>
          </a:r>
        </a:p>
      </dsp:txBody>
      <dsp:txXfrm>
        <a:off x="2224803" y="1210"/>
        <a:ext cx="1036792" cy="419667"/>
      </dsp:txXfrm>
    </dsp:sp>
    <dsp:sp modelId="{13D9CD5E-A46E-45B9-8520-9AB97404F010}">
      <dsp:nvSpPr>
        <dsp:cNvPr id="0" name=""/>
        <dsp:cNvSpPr/>
      </dsp:nvSpPr>
      <dsp:spPr>
        <a:xfrm>
          <a:off x="2500034" y="327618"/>
          <a:ext cx="729495" cy="139889"/>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5715" rIns="22860" bIns="5715" numCol="1" spcCol="1270" anchor="ctr" anchorCtr="0">
          <a:noAutofit/>
        </a:bodyPr>
        <a:lstStyle/>
        <a:p>
          <a:pPr marL="0" lvl="0" indent="0" algn="r" defTabSz="400050">
            <a:lnSpc>
              <a:spcPct val="90000"/>
            </a:lnSpc>
            <a:spcBef>
              <a:spcPct val="0"/>
            </a:spcBef>
            <a:spcAft>
              <a:spcPct val="35000"/>
            </a:spcAft>
            <a:buNone/>
          </a:pPr>
          <a:r>
            <a:rPr lang="cs-CZ" sz="900" kern="1200"/>
            <a:t>Nositel</a:t>
          </a:r>
        </a:p>
      </dsp:txBody>
      <dsp:txXfrm>
        <a:off x="2500034" y="327618"/>
        <a:ext cx="729495" cy="139889"/>
      </dsp:txXfrm>
    </dsp:sp>
    <dsp:sp modelId="{3F31E2F5-1497-4E91-A0E0-5CE3241B9497}">
      <dsp:nvSpPr>
        <dsp:cNvPr id="0" name=""/>
        <dsp:cNvSpPr/>
      </dsp:nvSpPr>
      <dsp:spPr>
        <a:xfrm>
          <a:off x="956187" y="2696807"/>
          <a:ext cx="810551" cy="419667"/>
        </a:xfrm>
        <a:prstGeom prst="rect">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kern="1200"/>
            <a:t>RSK</a:t>
          </a:r>
        </a:p>
      </dsp:txBody>
      <dsp:txXfrm>
        <a:off x="956187" y="2696807"/>
        <a:ext cx="810551" cy="419667"/>
      </dsp:txXfrm>
    </dsp:sp>
    <dsp:sp modelId="{25893F88-E168-4F21-9010-C515A13C0132}">
      <dsp:nvSpPr>
        <dsp:cNvPr id="0" name=""/>
        <dsp:cNvSpPr/>
      </dsp:nvSpPr>
      <dsp:spPr>
        <a:xfrm>
          <a:off x="1013225" y="2987129"/>
          <a:ext cx="939641" cy="212059"/>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cs-CZ" sz="800" kern="1200"/>
            <a:t>Regionální  pracovní skupiny</a:t>
          </a:r>
        </a:p>
      </dsp:txBody>
      <dsp:txXfrm>
        <a:off x="1013225" y="2987129"/>
        <a:ext cx="939641" cy="212059"/>
      </dsp:txXfrm>
    </dsp:sp>
    <dsp:sp modelId="{8BB1AE46-7B4C-416E-85BD-81B9C233FB0D}">
      <dsp:nvSpPr>
        <dsp:cNvPr id="0" name=""/>
        <dsp:cNvSpPr/>
      </dsp:nvSpPr>
      <dsp:spPr>
        <a:xfrm>
          <a:off x="2270780" y="2687079"/>
          <a:ext cx="810551" cy="419667"/>
        </a:xfrm>
        <a:prstGeom prst="rect">
          <a:avLst/>
        </a:prstGeom>
        <a:solidFill>
          <a:schemeClr val="accent6">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kern="1200"/>
            <a:t>Výkonný tým</a:t>
          </a:r>
        </a:p>
      </dsp:txBody>
      <dsp:txXfrm>
        <a:off x="2270780" y="2687079"/>
        <a:ext cx="810551" cy="419667"/>
      </dsp:txXfrm>
    </dsp:sp>
    <dsp:sp modelId="{C4DCD032-3D2F-440A-8F28-9AE8E2D322BB}">
      <dsp:nvSpPr>
        <dsp:cNvPr id="0" name=""/>
        <dsp:cNvSpPr/>
      </dsp:nvSpPr>
      <dsp:spPr>
        <a:xfrm>
          <a:off x="2172885" y="3009347"/>
          <a:ext cx="1005369" cy="167624"/>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cs-CZ" sz="800" kern="1200"/>
            <a:t>MMR a externí poradci</a:t>
          </a:r>
        </a:p>
      </dsp:txBody>
      <dsp:txXfrm>
        <a:off x="2172885" y="3009347"/>
        <a:ext cx="1005369" cy="167624"/>
      </dsp:txXfrm>
    </dsp:sp>
    <dsp:sp modelId="{95B88456-4B1E-44EE-9C69-C8B850DE2D86}">
      <dsp:nvSpPr>
        <dsp:cNvPr id="0" name=""/>
        <dsp:cNvSpPr/>
      </dsp:nvSpPr>
      <dsp:spPr>
        <a:xfrm>
          <a:off x="3425297" y="2696807"/>
          <a:ext cx="810551" cy="419667"/>
        </a:xfrm>
        <a:prstGeom prst="rect">
          <a:avLst/>
        </a:prstGeom>
        <a:solidFill>
          <a:srgbClr val="0070C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kern="1200"/>
            <a:t>Poradní tým</a:t>
          </a:r>
        </a:p>
      </dsp:txBody>
      <dsp:txXfrm>
        <a:off x="3425297" y="2696807"/>
        <a:ext cx="810551" cy="419667"/>
      </dsp:txXfrm>
    </dsp:sp>
    <dsp:sp modelId="{E6C9196B-E0F0-4DC0-815B-F278DD6194DD}">
      <dsp:nvSpPr>
        <dsp:cNvPr id="0" name=""/>
        <dsp:cNvSpPr/>
      </dsp:nvSpPr>
      <dsp:spPr>
        <a:xfrm>
          <a:off x="3632596" y="2970378"/>
          <a:ext cx="1156112" cy="207733"/>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cs-CZ" sz="800" kern="1200"/>
            <a:t>MMR, resorty, zástupci tripartit</a:t>
          </a:r>
        </a:p>
      </dsp:txBody>
      <dsp:txXfrm>
        <a:off x="3632596" y="2970378"/>
        <a:ext cx="1156112" cy="207733"/>
      </dsp:txXfrm>
    </dsp:sp>
    <dsp:sp modelId="{D4145C95-B12B-407D-A57E-61864351223C}">
      <dsp:nvSpPr>
        <dsp:cNvPr id="0" name=""/>
        <dsp:cNvSpPr/>
      </dsp:nvSpPr>
      <dsp:spPr>
        <a:xfrm>
          <a:off x="1510066" y="645248"/>
          <a:ext cx="810551" cy="4196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kern="1200"/>
            <a:t>MMR</a:t>
          </a:r>
        </a:p>
      </dsp:txBody>
      <dsp:txXfrm>
        <a:off x="1510066" y="645248"/>
        <a:ext cx="810551" cy="419667"/>
      </dsp:txXfrm>
    </dsp:sp>
    <dsp:sp modelId="{AB83C9C1-E4D0-4749-A4D8-861558605971}">
      <dsp:nvSpPr>
        <dsp:cNvPr id="0" name=""/>
        <dsp:cNvSpPr/>
      </dsp:nvSpPr>
      <dsp:spPr>
        <a:xfrm>
          <a:off x="1664938" y="989760"/>
          <a:ext cx="729495" cy="139889"/>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cs-CZ" sz="800" kern="1200"/>
            <a:t>Hlavní garant</a:t>
          </a:r>
        </a:p>
      </dsp:txBody>
      <dsp:txXfrm>
        <a:off x="1664938" y="989760"/>
        <a:ext cx="729495" cy="139889"/>
      </dsp:txXfrm>
    </dsp:sp>
    <dsp:sp modelId="{6F3CC923-E446-45B6-8BEB-2813152D34DB}">
      <dsp:nvSpPr>
        <dsp:cNvPr id="0" name=""/>
        <dsp:cNvSpPr/>
      </dsp:nvSpPr>
      <dsp:spPr>
        <a:xfrm>
          <a:off x="1509005" y="1337857"/>
          <a:ext cx="810551" cy="4196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endParaRPr lang="cs-CZ" sz="1000" kern="1200"/>
        </a:p>
      </dsp:txBody>
      <dsp:txXfrm>
        <a:off x="1509005" y="1337857"/>
        <a:ext cx="810551" cy="419667"/>
      </dsp:txXfrm>
    </dsp:sp>
    <dsp:sp modelId="{EDF69EAC-8722-46A2-8716-16DD8CEA4EB3}">
      <dsp:nvSpPr>
        <dsp:cNvPr id="0" name=""/>
        <dsp:cNvSpPr/>
      </dsp:nvSpPr>
      <dsp:spPr>
        <a:xfrm>
          <a:off x="1645658" y="1697952"/>
          <a:ext cx="729495" cy="139889"/>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endParaRPr lang="cs-CZ" sz="800" kern="1200"/>
        </a:p>
      </dsp:txBody>
      <dsp:txXfrm>
        <a:off x="1645658" y="1697952"/>
        <a:ext cx="729495" cy="139889"/>
      </dsp:txXfrm>
    </dsp:sp>
    <dsp:sp modelId="{0A2D15FF-C179-4F80-82A5-6A609DCE53AD}">
      <dsp:nvSpPr>
        <dsp:cNvPr id="0" name=""/>
        <dsp:cNvSpPr/>
      </dsp:nvSpPr>
      <dsp:spPr>
        <a:xfrm>
          <a:off x="2848360" y="645248"/>
          <a:ext cx="810551" cy="4196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kern="1200"/>
            <a:t>MŽP</a:t>
          </a:r>
        </a:p>
      </dsp:txBody>
      <dsp:txXfrm>
        <a:off x="2848360" y="645248"/>
        <a:ext cx="810551" cy="419667"/>
      </dsp:txXfrm>
    </dsp:sp>
    <dsp:sp modelId="{5643791B-D254-4D68-A10D-868F9D461479}">
      <dsp:nvSpPr>
        <dsp:cNvPr id="0" name=""/>
        <dsp:cNvSpPr/>
      </dsp:nvSpPr>
      <dsp:spPr>
        <a:xfrm>
          <a:off x="2937329" y="931065"/>
          <a:ext cx="861301" cy="257278"/>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cs-CZ" sz="800" kern="1200"/>
            <a:t>FST, Modernizační fond</a:t>
          </a:r>
        </a:p>
      </dsp:txBody>
      <dsp:txXfrm>
        <a:off x="2937329" y="931065"/>
        <a:ext cx="861301" cy="257278"/>
      </dsp:txXfrm>
    </dsp:sp>
    <dsp:sp modelId="{B34B061F-F304-47C7-8D66-94B251271DC3}">
      <dsp:nvSpPr>
        <dsp:cNvPr id="0" name=""/>
        <dsp:cNvSpPr/>
      </dsp:nvSpPr>
      <dsp:spPr>
        <a:xfrm>
          <a:off x="2956021" y="1537270"/>
          <a:ext cx="810551" cy="41966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59220" numCol="1" spcCol="1270" anchor="ctr" anchorCtr="0">
          <a:noAutofit/>
        </a:bodyPr>
        <a:lstStyle/>
        <a:p>
          <a:pPr marL="0" lvl="0" indent="0" algn="ctr" defTabSz="444500">
            <a:lnSpc>
              <a:spcPct val="90000"/>
            </a:lnSpc>
            <a:spcBef>
              <a:spcPct val="0"/>
            </a:spcBef>
            <a:spcAft>
              <a:spcPct val="35000"/>
            </a:spcAft>
            <a:buNone/>
          </a:pPr>
          <a:r>
            <a:rPr lang="cs-CZ" sz="1000" kern="1200"/>
            <a:t>MPO a ostatní resorty</a:t>
          </a:r>
        </a:p>
      </dsp:txBody>
      <dsp:txXfrm>
        <a:off x="2956021" y="1537270"/>
        <a:ext cx="810551" cy="419667"/>
      </dsp:txXfrm>
    </dsp:sp>
    <dsp:sp modelId="{5C329F62-337E-4410-8DD4-85BFF4AAA386}">
      <dsp:nvSpPr>
        <dsp:cNvPr id="0" name=""/>
        <dsp:cNvSpPr/>
      </dsp:nvSpPr>
      <dsp:spPr>
        <a:xfrm>
          <a:off x="3074906" y="1904768"/>
          <a:ext cx="1142448" cy="233946"/>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5080" rIns="20320" bIns="5080" numCol="1" spcCol="1270" anchor="ctr" anchorCtr="0">
          <a:noAutofit/>
        </a:bodyPr>
        <a:lstStyle/>
        <a:p>
          <a:pPr marL="0" lvl="0" indent="0" algn="r" defTabSz="355600">
            <a:lnSpc>
              <a:spcPct val="90000"/>
            </a:lnSpc>
            <a:spcBef>
              <a:spcPct val="0"/>
            </a:spcBef>
            <a:spcAft>
              <a:spcPct val="35000"/>
            </a:spcAft>
            <a:buNone/>
          </a:pPr>
          <a:r>
            <a:rPr lang="cs-CZ" sz="800" kern="1200"/>
            <a:t>Spolupráce, Národní programy a EU fondy</a:t>
          </a:r>
        </a:p>
      </dsp:txBody>
      <dsp:txXfrm>
        <a:off x="3074906" y="1904768"/>
        <a:ext cx="1142448" cy="233946"/>
      </dsp:txXfrm>
    </dsp:sp>
  </dsp:spTree>
</dsp:drawing>
</file>

<file path=word/diagrams/layout1.xml><?xml version="1.0" encoding="utf-8"?>
<dgm:layoutDef xmlns:dgm="http://schemas.openxmlformats.org/drawingml/2006/diagram" xmlns:a="http://schemas.openxmlformats.org/drawingml/2006/main" uniqueId="urn:microsoft.com/office/officeart/2008/layout/NameandTitleOrganizationalChart">
  <dgm:title val=""/>
  <dgm:desc val=""/>
  <dgm:catLst>
    <dgm:cat type="hierarchy" pri="125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fact="0.9"/>
                  <dgm:constr type="l" for="ch" forName="titleText1" refType="w" fact="0.2"/>
                  <dgm:constr type="t" for="ch" forName="titleText1" refType="h" fact="0.7"/>
                  <dgm:constr type="w" for="ch" forName="titleText1" refType="w" fact="0.9"/>
                  <dgm:constr type="h" for="ch" forName="titleText1" refType="h" fact="0.3"/>
                  <dgm:constr type="primFontSz" for="des" forName="titleText1" refType="primFontSz" refFor="des" refForName="rootText1" op="lte"/>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1" styleLbl="fgAcc0">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alg type="conn">
                            <dgm:param type="connRout" val="bend"/>
                            <dgm:param type="dim" val="1D"/>
                            <dgm:param type="endSty" val="noArr"/>
                            <dgm:param type="begPts" val="bCtr"/>
                            <dgm:param type="endPts" val="tCtr"/>
                            <dgm:param type="bendPt" val="end"/>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41" func="var" arg="hierBranch" op="equ" val="hang">
                    <dgm:layoutNode name="Name42">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3">
                    <dgm:layoutNode name="Name44">
                      <dgm:choose name="Name45">
                        <dgm:if name="Name46" axis="self" func="depth" op="lte" val="2">
                          <dgm:choose name="Name47">
                            <dgm:if name="Name48" axis="par ch" ptType="node asst" func="cnt" op="gte" val="1">
                              <dgm:alg type="conn">
                                <dgm:param type="connRout" val="bend"/>
                                <dgm:param type="dim" val="1D"/>
                                <dgm:param type="endSty" val="noArr"/>
                                <dgm:param type="begPts" val="bCtr"/>
                                <dgm:param type="endPts" val="midL midR"/>
                              </dgm:alg>
                            </dgm:if>
                            <dgm:else name="Name49">
                              <dgm:alg type="conn">
                                <dgm:param type="connRout" val="bend"/>
                                <dgm:param type="dim" val="1D"/>
                                <dgm:param type="endSty" val="noArr"/>
                                <dgm:param type="begPts" val="bCtr"/>
                                <dgm:param type="endPts" val="midL midR"/>
                                <dgm:param type="srcNode" val="rootConnector1"/>
                              </dgm:alg>
                            </dgm:else>
                          </dgm:choose>
                        </dgm:if>
                        <dgm:else name="Name50">
                          <dgm:choose name="Name51">
                            <dgm:if name="Name52" axis="par ch" ptType="node asst" func="cnt" op="gte" val="1">
                              <dgm:alg type="conn">
                                <dgm:param type="connRout" val="bend"/>
                                <dgm:param type="dim" val="1D"/>
                                <dgm:param type="endSty" val="noArr"/>
                                <dgm:param type="begPts" val="bCtr"/>
                                <dgm:param type="endPts" val="midL midR"/>
                              </dgm:alg>
                            </dgm:if>
                            <dgm:else name="Name53">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54">
                  <dgm:if name="Name55" func="var" arg="hierBranch" op="equ" val="l">
                    <dgm:choose name="Name56">
                      <dgm:if name="Name57"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58">
                        <dgm:alg type="hierRoot">
                          <dgm:param type="hierAlign" val="tR"/>
                        </dgm:alg>
                        <dgm:shape xmlns:r="http://schemas.openxmlformats.org/officeDocument/2006/relationships" r:blip="">
                          <dgm:adjLst/>
                        </dgm:shape>
                        <dgm:presOf/>
                        <dgm:constrLst>
                          <dgm:constr type="alignOff" val="0.25"/>
                        </dgm:constrLst>
                      </dgm:else>
                    </dgm:choose>
                  </dgm:if>
                  <dgm:if name="Name59" func="var" arg="hierBranch" op="equ" val="r">
                    <dgm:choose name="Name60">
                      <dgm:if name="Name61"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2">
                        <dgm:alg type="hierRoot">
                          <dgm:param type="hierAlign" val="tL"/>
                        </dgm:alg>
                        <dgm:shape xmlns:r="http://schemas.openxmlformats.org/officeDocument/2006/relationships" r:blip="">
                          <dgm:adjLst/>
                        </dgm:shape>
                        <dgm:presOf/>
                        <dgm:constrLst>
                          <dgm:constr type="alignOff" val="0.25"/>
                        </dgm:constrLst>
                      </dgm:else>
                    </dgm:choose>
                  </dgm:if>
                  <dgm:if name="Name63"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4"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65">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66">
                    <dgm:if name="Name67" func="var" arg="hierBranch" op="equ" val="init">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68" func="var" arg="hierBranch" op="equ" val="l">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69" func="var" arg="hierBranch" op="equ" val="r">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70">
                      <dgm:constrLst>
                        <dgm:constr type="l" for="ch" forName="rootText"/>
                        <dgm:constr type="t" for="ch" forName="rootText"/>
                        <dgm:constr type="w" for="ch" forName="rootText" refType="w"/>
                        <dgm:constr type="h" for="ch" forName="rootText" refType="h" fact="0.9"/>
                        <dgm:constr type="l" for="ch" forName="titleText2" refType="w" fact="0.2"/>
                        <dgm:constr type="t" for="ch" forName="titleText2" refType="h" fact="0.7"/>
                        <dgm:constr type="w" for="ch" forName="titleText2" refType="w" fact="0.9"/>
                        <dgm:constr type="h" for="ch" forName="titleText2" refType="h" fact="0.3"/>
                        <dgm:constr type="primFontSz" for="des" forName="titleText2" refType="primFontSz" refFor="des" refForName="rootText1" op="lte"/>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varLst>
                      <dgm:chMax/>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2" styleLbl="fgAcc1">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71">
                    <dgm:if name="Name72" func="var" arg="hierBranch" op="equ" val="l">
                      <dgm:alg type="hierChild">
                        <dgm:param type="chAlign" val="r"/>
                        <dgm:param type="linDir" val="fromT"/>
                      </dgm:alg>
                    </dgm:if>
                    <dgm:if name="Name73" func="var" arg="hierBranch" op="equ" val="r">
                      <dgm:alg type="hierChild">
                        <dgm:param type="chAlign" val="l"/>
                        <dgm:param type="linDir" val="fromT"/>
                      </dgm:alg>
                    </dgm:if>
                    <dgm:if name="Name74" func="var" arg="hierBranch" op="equ" val="hang">
                      <dgm:choose name="Name75">
                        <dgm:if name="Name76" func="var" arg="dir" op="equ" val="norm">
                          <dgm:alg type="hierChild">
                            <dgm:param type="chAlign" val="l"/>
                            <dgm:param type="linDir" val="fromL"/>
                            <dgm:param type="secChAlign" val="t"/>
                            <dgm:param type="secLinDir" val="fromT"/>
                          </dgm:alg>
                        </dgm:if>
                        <dgm:else name="Name77">
                          <dgm:alg type="hierChild">
                            <dgm:param type="chAlign" val="l"/>
                            <dgm:param type="linDir" val="fromR"/>
                            <dgm:param type="secChAlign" val="t"/>
                            <dgm:param type="secLinDir" val="fromT"/>
                          </dgm:alg>
                        </dgm:else>
                      </dgm:choose>
                    </dgm:if>
                    <dgm:if name="Name78" func="var" arg="hierBranch" op="equ" val="std">
                      <dgm:choose name="Name79">
                        <dgm:if name="Name80" func="var" arg="dir" op="equ" val="norm">
                          <dgm:alg type="hierChild"/>
                        </dgm:if>
                        <dgm:else name="Name81">
                          <dgm:alg type="hierChild">
                            <dgm:param type="linDir" val="fromR"/>
                          </dgm:alg>
                        </dgm:else>
                      </dgm:choose>
                    </dgm:if>
                    <dgm:if name="Name82" func="var" arg="hierBranch" op="equ" val="init">
                      <dgm:choose name="Name83">
                        <dgm:if name="Name84" func="var" arg="dir" op="equ" val="norm">
                          <dgm:alg type="hierChild"/>
                        </dgm:if>
                        <dgm:else name="Name85">
                          <dgm:alg type="hierChild">
                            <dgm:param type="linDir" val="fromR"/>
                          </dgm:alg>
                        </dgm:else>
                      </dgm:choose>
                    </dgm:if>
                    <dgm:else name="Name86"/>
                  </dgm:choose>
                  <dgm:shape xmlns:r="http://schemas.openxmlformats.org/officeDocument/2006/relationships" r:blip="">
                    <dgm:adjLst/>
                  </dgm:shape>
                  <dgm:presOf/>
                  <dgm:constrLst/>
                  <dgm:ruleLst/>
                  <dgm:forEach name="Name87" ref="rep2a"/>
                </dgm:layoutNode>
                <dgm:layoutNode name="hierChild5">
                  <dgm:choose name="Name88">
                    <dgm:if name="Name89" func="var" arg="dir" op="equ" val="norm">
                      <dgm:alg type="hierChild">
                        <dgm:param type="chAlign" val="l"/>
                        <dgm:param type="linDir" val="fromL"/>
                        <dgm:param type="secChAlign" val="t"/>
                        <dgm:param type="secLinDir" val="fromT"/>
                      </dgm:alg>
                    </dgm:if>
                    <dgm:else name="Name90">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91" ref="rep2b"/>
                </dgm:layoutNode>
              </dgm:layoutNode>
            </dgm:forEach>
          </dgm:layoutNode>
          <dgm:layoutNode name="hierChild3">
            <dgm:choose name="Name92">
              <dgm:if name="Name93" func="var" arg="dir" op="equ" val="norm">
                <dgm:alg type="hierChild">
                  <dgm:param type="chAlign" val="l"/>
                  <dgm:param type="linDir" val="fromL"/>
                  <dgm:param type="secChAlign" val="t"/>
                  <dgm:param type="secLinDir" val="fromT"/>
                </dgm:alg>
              </dgm:if>
              <dgm:else name="Name94">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95" axis="precedSib" ptType="parTrans" st="-1" cnt="1">
                <dgm:layoutNode name="Name96">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97">
                  <dgm:if name="Name98" func="var" arg="hierBranch" op="equ" val="l">
                    <dgm:alg type="hierRoot">
                      <dgm:param type="hierAlign" val="tR"/>
                    </dgm:alg>
                    <dgm:shape xmlns:r="http://schemas.openxmlformats.org/officeDocument/2006/relationships" r:blip="">
                      <dgm:adjLst/>
                    </dgm:shape>
                    <dgm:presOf/>
                    <dgm:constrLst>
                      <dgm:constr type="alignOff" val="0.65"/>
                    </dgm:constrLst>
                  </dgm:if>
                  <dgm:if name="Name99" func="var" arg="hierBranch" op="equ" val="r">
                    <dgm:alg type="hierRoot">
                      <dgm:param type="hierAlign" val="tL"/>
                    </dgm:alg>
                    <dgm:shape xmlns:r="http://schemas.openxmlformats.org/officeDocument/2006/relationships" r:blip="">
                      <dgm:adjLst/>
                    </dgm:shape>
                    <dgm:presOf/>
                    <dgm:constrLst>
                      <dgm:constr type="alignOff" val="0.65"/>
                    </dgm:constrLst>
                  </dgm:if>
                  <dgm:if name="Name100" func="var" arg="hierBranch" op="equ" val="hang">
                    <dgm:alg type="hierRoot"/>
                    <dgm:shape xmlns:r="http://schemas.openxmlformats.org/officeDocument/2006/relationships" r:blip="">
                      <dgm:adjLst/>
                    </dgm:shape>
                    <dgm:presOf/>
                    <dgm:constrLst>
                      <dgm:constr type="alignOff" val="0.65"/>
                    </dgm:constrLst>
                  </dgm:if>
                  <dgm:if name="Name101"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02" func="var" arg="hierBranch" op="equ" val="init">
                    <dgm:alg type="hierRoot"/>
                    <dgm:shape xmlns:r="http://schemas.openxmlformats.org/officeDocument/2006/relationships" r:blip="">
                      <dgm:adjLst/>
                    </dgm:shape>
                    <dgm:presOf/>
                    <dgm:constrLst>
                      <dgm:constr type="alignOff"/>
                      <dgm:constr type="bendDist" for="des" ptType="parTrans" refType="sp" fact="0.5"/>
                    </dgm:constrLst>
                  </dgm:if>
                  <dgm:else name="Name103"/>
                </dgm:choose>
                <dgm:ruleLst/>
                <dgm:layoutNode name="rootComposite3">
                  <dgm:alg type="composite"/>
                  <dgm:shape xmlns:r="http://schemas.openxmlformats.org/officeDocument/2006/relationships" r:blip="">
                    <dgm:adjLst/>
                  </dgm:shape>
                  <dgm:presOf axis="self" ptType="node" cnt="1"/>
                  <dgm:choose name="Name104">
                    <dgm:if name="Name105" func="var" arg="hierBranch" op="equ" val="init">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06" func="var" arg="hierBranch" op="equ" val="l">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07" func="var" arg="hierBranch" op="equ" val="r">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08">
                      <dgm:constrLst>
                        <dgm:constr type="l" for="ch" forName="rootText3"/>
                        <dgm:constr type="t" for="ch" forName="rootText3"/>
                        <dgm:constr type="w" for="ch" forName="rootText3" refType="w"/>
                        <dgm:constr type="h" for="ch" forName="rootText3" refType="h" fact="0.9"/>
                        <dgm:constr type="l" for="ch" forName="titleText3" refType="w" fact="0.2"/>
                        <dgm:constr type="t" for="ch" forName="titleText3" refType="h" fact="0.7"/>
                        <dgm:constr type="w" for="ch" forName="titleText3" refType="w" fact="0.9"/>
                        <dgm:constr type="h" for="ch" forName="titleText3" refType="h" fact="0.3"/>
                        <dgm:constr type="primFontSz" for="des" forName="titleText3" refType="primFontSz" refFor="des" refForName="rootText3" op="lte"/>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styleLbl="asst1">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h" fact="0.4"/>
                    </dgm:constrLst>
                    <dgm:ruleLst>
                      <dgm:rule type="primFontSz" val="5" fact="NaN" max="NaN"/>
                    </dgm:ruleLst>
                  </dgm:layoutNode>
                  <dgm:layoutNode name="titleText3" styleLbl="fgAcc2">
                    <dgm:varLst>
                      <dgm:chMax val="0"/>
                      <dgm:chPref val="0"/>
                    </dgm:varLst>
                    <dgm:alg type="tx">
                      <dgm:param type="parTxLTRAlign" val="r"/>
                    </dgm:alg>
                    <dgm:shape xmlns:r="http://schemas.openxmlformats.org/officeDocument/2006/relationships" type="rect" r:blip="">
                      <dgm:adjLst/>
                    </dgm:shape>
                    <dgm:presOf axis="followSib" ptType="sibTrans" hideLastTrans="0" cnt="1"/>
                    <dgm:constrLst>
                      <dgm:constr type="primFontSz" val="65"/>
                      <dgm:constr type="lMarg" refType="primFontSz" fact="0.2"/>
                      <dgm:constr type="rMarg" refType="primFontSz" fact="0.2"/>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09">
                    <dgm:if name="Name110" func="var" arg="hierBranch" op="equ" val="l">
                      <dgm:alg type="hierChild">
                        <dgm:param type="chAlign" val="r"/>
                        <dgm:param type="linDir" val="fromT"/>
                      </dgm:alg>
                    </dgm:if>
                    <dgm:if name="Name111" func="var" arg="hierBranch" op="equ" val="r">
                      <dgm:alg type="hierChild">
                        <dgm:param type="chAlign" val="l"/>
                        <dgm:param type="linDir" val="fromT"/>
                      </dgm:alg>
                    </dgm:if>
                    <dgm:if name="Name112" func="var" arg="hierBranch" op="equ" val="hang">
                      <dgm:choose name="Name113">
                        <dgm:if name="Name114" func="var" arg="dir" op="equ" val="norm">
                          <dgm:alg type="hierChild">
                            <dgm:param type="chAlign" val="l"/>
                            <dgm:param type="linDir" val="fromL"/>
                            <dgm:param type="secChAlign" val="t"/>
                            <dgm:param type="secLinDir" val="fromT"/>
                          </dgm:alg>
                        </dgm:if>
                        <dgm:else name="Name115">
                          <dgm:alg type="hierChild">
                            <dgm:param type="chAlign" val="l"/>
                            <dgm:param type="linDir" val="fromR"/>
                            <dgm:param type="secChAlign" val="t"/>
                            <dgm:param type="secLinDir" val="fromT"/>
                          </dgm:alg>
                        </dgm:else>
                      </dgm:choose>
                    </dgm:if>
                    <dgm:if name="Name116" func="var" arg="hierBranch" op="equ" val="std">
                      <dgm:choose name="Name117">
                        <dgm:if name="Name118" func="var" arg="dir" op="equ" val="norm">
                          <dgm:alg type="hierChild"/>
                        </dgm:if>
                        <dgm:else name="Name119">
                          <dgm:alg type="hierChild">
                            <dgm:param type="linDir" val="fromR"/>
                          </dgm:alg>
                        </dgm:else>
                      </dgm:choose>
                    </dgm:if>
                    <dgm:if name="Name120" func="var" arg="hierBranch" op="equ" val="init">
                      <dgm:alg type="hierChild"/>
                    </dgm:if>
                    <dgm:else name="Name121"/>
                  </dgm:choose>
                  <dgm:shape xmlns:r="http://schemas.openxmlformats.org/officeDocument/2006/relationships" r:blip="">
                    <dgm:adjLst/>
                  </dgm:shape>
                  <dgm:presOf/>
                  <dgm:constrLst/>
                  <dgm:ruleLst/>
                  <dgm:forEach name="Name122" ref="rep2a"/>
                </dgm:layoutNode>
                <dgm:layoutNode name="hierChild7">
                  <dgm:choose name="Name123">
                    <dgm:if name="Name124" func="var" arg="dir" op="equ" val="norm">
                      <dgm:alg type="hierChild">
                        <dgm:param type="chAlign" val="l"/>
                        <dgm:param type="linDir" val="fromL"/>
                        <dgm:param type="secChAlign" val="t"/>
                        <dgm:param type="secLinDir" val="fromT"/>
                      </dgm:alg>
                    </dgm:if>
                    <dgm:else name="Name12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26"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84C3129CE6E94F967B3B03A604CB07" ma:contentTypeVersion="10" ma:contentTypeDescription="Create a new document." ma:contentTypeScope="" ma:versionID="5986ca357bc99ae90e5a137516866d87">
  <xsd:schema xmlns:xsd="http://www.w3.org/2001/XMLSchema" xmlns:xs="http://www.w3.org/2001/XMLSchema" xmlns:p="http://schemas.microsoft.com/office/2006/metadata/properties" xmlns:ns2="daddd675-6c83-4598-9286-5be6c838b104" xmlns:ns3="1cb2644d-9f5e-4571-b160-7b65398670a5" targetNamespace="http://schemas.microsoft.com/office/2006/metadata/properties" ma:root="true" ma:fieldsID="d04dfb5d9f2607d55d6000b0c1360974" ns2:_="" ns3:_="">
    <xsd:import namespace="daddd675-6c83-4598-9286-5be6c838b104"/>
    <xsd:import namespace="1cb2644d-9f5e-4571-b160-7b65398670a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dd675-6c83-4598-9286-5be6c838b10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b2644d-9f5e-4571-b160-7b65398670a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addd675-6c83-4598-9286-5be6c838b104">
      <UserInfo>
        <DisplayName>Langhammerová Andrea</DisplayName>
        <AccountId>16</AccountId>
        <AccountType/>
      </UserInfo>
    </SharedWithUsers>
  </documentManagement>
</p:properties>
</file>

<file path=customXml/itemProps1.xml><?xml version="1.0" encoding="utf-8"?>
<ds:datastoreItem xmlns:ds="http://schemas.openxmlformats.org/officeDocument/2006/customXml" ds:itemID="{C9BF0E35-BD67-4D7B-B522-FC56F7326EFA}">
  <ds:schemaRefs>
    <ds:schemaRef ds:uri="http://schemas.openxmlformats.org/officeDocument/2006/bibliography"/>
  </ds:schemaRefs>
</ds:datastoreItem>
</file>

<file path=customXml/itemProps2.xml><?xml version="1.0" encoding="utf-8"?>
<ds:datastoreItem xmlns:ds="http://schemas.openxmlformats.org/officeDocument/2006/customXml" ds:itemID="{11F2874D-0803-4D31-8C9E-DFC2F2A99D8B}">
  <ds:schemaRefs>
    <ds:schemaRef ds:uri="http://schemas.microsoft.com/sharepoint/v3/contenttype/forms"/>
  </ds:schemaRefs>
</ds:datastoreItem>
</file>

<file path=customXml/itemProps3.xml><?xml version="1.0" encoding="utf-8"?>
<ds:datastoreItem xmlns:ds="http://schemas.openxmlformats.org/officeDocument/2006/customXml" ds:itemID="{9EAAD481-76FE-4135-B0BA-A3E5A2105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ddd675-6c83-4598-9286-5be6c838b104"/>
    <ds:schemaRef ds:uri="1cb2644d-9f5e-4571-b160-7b65398670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FF137-7100-4BCC-AF84-3730599D6C45}">
  <ds:schemaRef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dcmitype/"/>
    <ds:schemaRef ds:uri="1cb2644d-9f5e-4571-b160-7b65398670a5"/>
    <ds:schemaRef ds:uri="daddd675-6c83-4598-9286-5be6c838b10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68</Pages>
  <Words>19322</Words>
  <Characters>114005</Characters>
  <Application>Microsoft Office Word</Application>
  <DocSecurity>0</DocSecurity>
  <Lines>950</Lines>
  <Paragraphs>266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133061</CharactersWithSpaces>
  <SharedDoc>false</SharedDoc>
  <HLinks>
    <vt:vector size="270" baseType="variant">
      <vt:variant>
        <vt:i4>1703990</vt:i4>
      </vt:variant>
      <vt:variant>
        <vt:i4>260</vt:i4>
      </vt:variant>
      <vt:variant>
        <vt:i4>0</vt:i4>
      </vt:variant>
      <vt:variant>
        <vt:i4>5</vt:i4>
      </vt:variant>
      <vt:variant>
        <vt:lpwstr/>
      </vt:variant>
      <vt:variant>
        <vt:lpwstr>_Toc113964213</vt:lpwstr>
      </vt:variant>
      <vt:variant>
        <vt:i4>1703990</vt:i4>
      </vt:variant>
      <vt:variant>
        <vt:i4>254</vt:i4>
      </vt:variant>
      <vt:variant>
        <vt:i4>0</vt:i4>
      </vt:variant>
      <vt:variant>
        <vt:i4>5</vt:i4>
      </vt:variant>
      <vt:variant>
        <vt:lpwstr/>
      </vt:variant>
      <vt:variant>
        <vt:lpwstr>_Toc113964212</vt:lpwstr>
      </vt:variant>
      <vt:variant>
        <vt:i4>1703990</vt:i4>
      </vt:variant>
      <vt:variant>
        <vt:i4>248</vt:i4>
      </vt:variant>
      <vt:variant>
        <vt:i4>0</vt:i4>
      </vt:variant>
      <vt:variant>
        <vt:i4>5</vt:i4>
      </vt:variant>
      <vt:variant>
        <vt:lpwstr/>
      </vt:variant>
      <vt:variant>
        <vt:lpwstr>_Toc113964211</vt:lpwstr>
      </vt:variant>
      <vt:variant>
        <vt:i4>1703990</vt:i4>
      </vt:variant>
      <vt:variant>
        <vt:i4>242</vt:i4>
      </vt:variant>
      <vt:variant>
        <vt:i4>0</vt:i4>
      </vt:variant>
      <vt:variant>
        <vt:i4>5</vt:i4>
      </vt:variant>
      <vt:variant>
        <vt:lpwstr/>
      </vt:variant>
      <vt:variant>
        <vt:lpwstr>_Toc113964210</vt:lpwstr>
      </vt:variant>
      <vt:variant>
        <vt:i4>1769526</vt:i4>
      </vt:variant>
      <vt:variant>
        <vt:i4>236</vt:i4>
      </vt:variant>
      <vt:variant>
        <vt:i4>0</vt:i4>
      </vt:variant>
      <vt:variant>
        <vt:i4>5</vt:i4>
      </vt:variant>
      <vt:variant>
        <vt:lpwstr/>
      </vt:variant>
      <vt:variant>
        <vt:lpwstr>_Toc113964209</vt:lpwstr>
      </vt:variant>
      <vt:variant>
        <vt:i4>1769526</vt:i4>
      </vt:variant>
      <vt:variant>
        <vt:i4>230</vt:i4>
      </vt:variant>
      <vt:variant>
        <vt:i4>0</vt:i4>
      </vt:variant>
      <vt:variant>
        <vt:i4>5</vt:i4>
      </vt:variant>
      <vt:variant>
        <vt:lpwstr/>
      </vt:variant>
      <vt:variant>
        <vt:lpwstr>_Toc113964208</vt:lpwstr>
      </vt:variant>
      <vt:variant>
        <vt:i4>1769526</vt:i4>
      </vt:variant>
      <vt:variant>
        <vt:i4>224</vt:i4>
      </vt:variant>
      <vt:variant>
        <vt:i4>0</vt:i4>
      </vt:variant>
      <vt:variant>
        <vt:i4>5</vt:i4>
      </vt:variant>
      <vt:variant>
        <vt:lpwstr/>
      </vt:variant>
      <vt:variant>
        <vt:lpwstr>_Toc113964207</vt:lpwstr>
      </vt:variant>
      <vt:variant>
        <vt:i4>1769526</vt:i4>
      </vt:variant>
      <vt:variant>
        <vt:i4>218</vt:i4>
      </vt:variant>
      <vt:variant>
        <vt:i4>0</vt:i4>
      </vt:variant>
      <vt:variant>
        <vt:i4>5</vt:i4>
      </vt:variant>
      <vt:variant>
        <vt:lpwstr/>
      </vt:variant>
      <vt:variant>
        <vt:lpwstr>_Toc113964206</vt:lpwstr>
      </vt:variant>
      <vt:variant>
        <vt:i4>1769526</vt:i4>
      </vt:variant>
      <vt:variant>
        <vt:i4>212</vt:i4>
      </vt:variant>
      <vt:variant>
        <vt:i4>0</vt:i4>
      </vt:variant>
      <vt:variant>
        <vt:i4>5</vt:i4>
      </vt:variant>
      <vt:variant>
        <vt:lpwstr/>
      </vt:variant>
      <vt:variant>
        <vt:lpwstr>_Toc113964205</vt:lpwstr>
      </vt:variant>
      <vt:variant>
        <vt:i4>1769526</vt:i4>
      </vt:variant>
      <vt:variant>
        <vt:i4>206</vt:i4>
      </vt:variant>
      <vt:variant>
        <vt:i4>0</vt:i4>
      </vt:variant>
      <vt:variant>
        <vt:i4>5</vt:i4>
      </vt:variant>
      <vt:variant>
        <vt:lpwstr/>
      </vt:variant>
      <vt:variant>
        <vt:lpwstr>_Toc113964204</vt:lpwstr>
      </vt:variant>
      <vt:variant>
        <vt:i4>1769526</vt:i4>
      </vt:variant>
      <vt:variant>
        <vt:i4>200</vt:i4>
      </vt:variant>
      <vt:variant>
        <vt:i4>0</vt:i4>
      </vt:variant>
      <vt:variant>
        <vt:i4>5</vt:i4>
      </vt:variant>
      <vt:variant>
        <vt:lpwstr/>
      </vt:variant>
      <vt:variant>
        <vt:lpwstr>_Toc113964203</vt:lpwstr>
      </vt:variant>
      <vt:variant>
        <vt:i4>1769526</vt:i4>
      </vt:variant>
      <vt:variant>
        <vt:i4>194</vt:i4>
      </vt:variant>
      <vt:variant>
        <vt:i4>0</vt:i4>
      </vt:variant>
      <vt:variant>
        <vt:i4>5</vt:i4>
      </vt:variant>
      <vt:variant>
        <vt:lpwstr/>
      </vt:variant>
      <vt:variant>
        <vt:lpwstr>_Toc113964202</vt:lpwstr>
      </vt:variant>
      <vt:variant>
        <vt:i4>1769526</vt:i4>
      </vt:variant>
      <vt:variant>
        <vt:i4>188</vt:i4>
      </vt:variant>
      <vt:variant>
        <vt:i4>0</vt:i4>
      </vt:variant>
      <vt:variant>
        <vt:i4>5</vt:i4>
      </vt:variant>
      <vt:variant>
        <vt:lpwstr/>
      </vt:variant>
      <vt:variant>
        <vt:lpwstr>_Toc113964201</vt:lpwstr>
      </vt:variant>
      <vt:variant>
        <vt:i4>1769526</vt:i4>
      </vt:variant>
      <vt:variant>
        <vt:i4>182</vt:i4>
      </vt:variant>
      <vt:variant>
        <vt:i4>0</vt:i4>
      </vt:variant>
      <vt:variant>
        <vt:i4>5</vt:i4>
      </vt:variant>
      <vt:variant>
        <vt:lpwstr/>
      </vt:variant>
      <vt:variant>
        <vt:lpwstr>_Toc113964200</vt:lpwstr>
      </vt:variant>
      <vt:variant>
        <vt:i4>1179701</vt:i4>
      </vt:variant>
      <vt:variant>
        <vt:i4>176</vt:i4>
      </vt:variant>
      <vt:variant>
        <vt:i4>0</vt:i4>
      </vt:variant>
      <vt:variant>
        <vt:i4>5</vt:i4>
      </vt:variant>
      <vt:variant>
        <vt:lpwstr/>
      </vt:variant>
      <vt:variant>
        <vt:lpwstr>_Toc113964199</vt:lpwstr>
      </vt:variant>
      <vt:variant>
        <vt:i4>1179701</vt:i4>
      </vt:variant>
      <vt:variant>
        <vt:i4>170</vt:i4>
      </vt:variant>
      <vt:variant>
        <vt:i4>0</vt:i4>
      </vt:variant>
      <vt:variant>
        <vt:i4>5</vt:i4>
      </vt:variant>
      <vt:variant>
        <vt:lpwstr/>
      </vt:variant>
      <vt:variant>
        <vt:lpwstr>_Toc113964198</vt:lpwstr>
      </vt:variant>
      <vt:variant>
        <vt:i4>1179701</vt:i4>
      </vt:variant>
      <vt:variant>
        <vt:i4>164</vt:i4>
      </vt:variant>
      <vt:variant>
        <vt:i4>0</vt:i4>
      </vt:variant>
      <vt:variant>
        <vt:i4>5</vt:i4>
      </vt:variant>
      <vt:variant>
        <vt:lpwstr/>
      </vt:variant>
      <vt:variant>
        <vt:lpwstr>_Toc113964197</vt:lpwstr>
      </vt:variant>
      <vt:variant>
        <vt:i4>1179701</vt:i4>
      </vt:variant>
      <vt:variant>
        <vt:i4>158</vt:i4>
      </vt:variant>
      <vt:variant>
        <vt:i4>0</vt:i4>
      </vt:variant>
      <vt:variant>
        <vt:i4>5</vt:i4>
      </vt:variant>
      <vt:variant>
        <vt:lpwstr/>
      </vt:variant>
      <vt:variant>
        <vt:lpwstr>_Toc113964196</vt:lpwstr>
      </vt:variant>
      <vt:variant>
        <vt:i4>1179701</vt:i4>
      </vt:variant>
      <vt:variant>
        <vt:i4>152</vt:i4>
      </vt:variant>
      <vt:variant>
        <vt:i4>0</vt:i4>
      </vt:variant>
      <vt:variant>
        <vt:i4>5</vt:i4>
      </vt:variant>
      <vt:variant>
        <vt:lpwstr/>
      </vt:variant>
      <vt:variant>
        <vt:lpwstr>_Toc113964195</vt:lpwstr>
      </vt:variant>
      <vt:variant>
        <vt:i4>1179701</vt:i4>
      </vt:variant>
      <vt:variant>
        <vt:i4>146</vt:i4>
      </vt:variant>
      <vt:variant>
        <vt:i4>0</vt:i4>
      </vt:variant>
      <vt:variant>
        <vt:i4>5</vt:i4>
      </vt:variant>
      <vt:variant>
        <vt:lpwstr/>
      </vt:variant>
      <vt:variant>
        <vt:lpwstr>_Toc113964194</vt:lpwstr>
      </vt:variant>
      <vt:variant>
        <vt:i4>1179701</vt:i4>
      </vt:variant>
      <vt:variant>
        <vt:i4>140</vt:i4>
      </vt:variant>
      <vt:variant>
        <vt:i4>0</vt:i4>
      </vt:variant>
      <vt:variant>
        <vt:i4>5</vt:i4>
      </vt:variant>
      <vt:variant>
        <vt:lpwstr/>
      </vt:variant>
      <vt:variant>
        <vt:lpwstr>_Toc113964193</vt:lpwstr>
      </vt:variant>
      <vt:variant>
        <vt:i4>1179701</vt:i4>
      </vt:variant>
      <vt:variant>
        <vt:i4>134</vt:i4>
      </vt:variant>
      <vt:variant>
        <vt:i4>0</vt:i4>
      </vt:variant>
      <vt:variant>
        <vt:i4>5</vt:i4>
      </vt:variant>
      <vt:variant>
        <vt:lpwstr/>
      </vt:variant>
      <vt:variant>
        <vt:lpwstr>_Toc113964192</vt:lpwstr>
      </vt:variant>
      <vt:variant>
        <vt:i4>1179701</vt:i4>
      </vt:variant>
      <vt:variant>
        <vt:i4>128</vt:i4>
      </vt:variant>
      <vt:variant>
        <vt:i4>0</vt:i4>
      </vt:variant>
      <vt:variant>
        <vt:i4>5</vt:i4>
      </vt:variant>
      <vt:variant>
        <vt:lpwstr/>
      </vt:variant>
      <vt:variant>
        <vt:lpwstr>_Toc113964191</vt:lpwstr>
      </vt:variant>
      <vt:variant>
        <vt:i4>1179701</vt:i4>
      </vt:variant>
      <vt:variant>
        <vt:i4>122</vt:i4>
      </vt:variant>
      <vt:variant>
        <vt:i4>0</vt:i4>
      </vt:variant>
      <vt:variant>
        <vt:i4>5</vt:i4>
      </vt:variant>
      <vt:variant>
        <vt:lpwstr/>
      </vt:variant>
      <vt:variant>
        <vt:lpwstr>_Toc113964190</vt:lpwstr>
      </vt:variant>
      <vt:variant>
        <vt:i4>1245237</vt:i4>
      </vt:variant>
      <vt:variant>
        <vt:i4>116</vt:i4>
      </vt:variant>
      <vt:variant>
        <vt:i4>0</vt:i4>
      </vt:variant>
      <vt:variant>
        <vt:i4>5</vt:i4>
      </vt:variant>
      <vt:variant>
        <vt:lpwstr/>
      </vt:variant>
      <vt:variant>
        <vt:lpwstr>_Toc113964189</vt:lpwstr>
      </vt:variant>
      <vt:variant>
        <vt:i4>1245237</vt:i4>
      </vt:variant>
      <vt:variant>
        <vt:i4>110</vt:i4>
      </vt:variant>
      <vt:variant>
        <vt:i4>0</vt:i4>
      </vt:variant>
      <vt:variant>
        <vt:i4>5</vt:i4>
      </vt:variant>
      <vt:variant>
        <vt:lpwstr/>
      </vt:variant>
      <vt:variant>
        <vt:lpwstr>_Toc113964188</vt:lpwstr>
      </vt:variant>
      <vt:variant>
        <vt:i4>1245237</vt:i4>
      </vt:variant>
      <vt:variant>
        <vt:i4>104</vt:i4>
      </vt:variant>
      <vt:variant>
        <vt:i4>0</vt:i4>
      </vt:variant>
      <vt:variant>
        <vt:i4>5</vt:i4>
      </vt:variant>
      <vt:variant>
        <vt:lpwstr/>
      </vt:variant>
      <vt:variant>
        <vt:lpwstr>_Toc113964187</vt:lpwstr>
      </vt:variant>
      <vt:variant>
        <vt:i4>1245237</vt:i4>
      </vt:variant>
      <vt:variant>
        <vt:i4>98</vt:i4>
      </vt:variant>
      <vt:variant>
        <vt:i4>0</vt:i4>
      </vt:variant>
      <vt:variant>
        <vt:i4>5</vt:i4>
      </vt:variant>
      <vt:variant>
        <vt:lpwstr/>
      </vt:variant>
      <vt:variant>
        <vt:lpwstr>_Toc113964186</vt:lpwstr>
      </vt:variant>
      <vt:variant>
        <vt:i4>1245237</vt:i4>
      </vt:variant>
      <vt:variant>
        <vt:i4>92</vt:i4>
      </vt:variant>
      <vt:variant>
        <vt:i4>0</vt:i4>
      </vt:variant>
      <vt:variant>
        <vt:i4>5</vt:i4>
      </vt:variant>
      <vt:variant>
        <vt:lpwstr/>
      </vt:variant>
      <vt:variant>
        <vt:lpwstr>_Toc113964185</vt:lpwstr>
      </vt:variant>
      <vt:variant>
        <vt:i4>1245237</vt:i4>
      </vt:variant>
      <vt:variant>
        <vt:i4>86</vt:i4>
      </vt:variant>
      <vt:variant>
        <vt:i4>0</vt:i4>
      </vt:variant>
      <vt:variant>
        <vt:i4>5</vt:i4>
      </vt:variant>
      <vt:variant>
        <vt:lpwstr/>
      </vt:variant>
      <vt:variant>
        <vt:lpwstr>_Toc113964184</vt:lpwstr>
      </vt:variant>
      <vt:variant>
        <vt:i4>1245237</vt:i4>
      </vt:variant>
      <vt:variant>
        <vt:i4>80</vt:i4>
      </vt:variant>
      <vt:variant>
        <vt:i4>0</vt:i4>
      </vt:variant>
      <vt:variant>
        <vt:i4>5</vt:i4>
      </vt:variant>
      <vt:variant>
        <vt:lpwstr/>
      </vt:variant>
      <vt:variant>
        <vt:lpwstr>_Toc113964183</vt:lpwstr>
      </vt:variant>
      <vt:variant>
        <vt:i4>1245237</vt:i4>
      </vt:variant>
      <vt:variant>
        <vt:i4>74</vt:i4>
      </vt:variant>
      <vt:variant>
        <vt:i4>0</vt:i4>
      </vt:variant>
      <vt:variant>
        <vt:i4>5</vt:i4>
      </vt:variant>
      <vt:variant>
        <vt:lpwstr/>
      </vt:variant>
      <vt:variant>
        <vt:lpwstr>_Toc113964182</vt:lpwstr>
      </vt:variant>
      <vt:variant>
        <vt:i4>1245237</vt:i4>
      </vt:variant>
      <vt:variant>
        <vt:i4>68</vt:i4>
      </vt:variant>
      <vt:variant>
        <vt:i4>0</vt:i4>
      </vt:variant>
      <vt:variant>
        <vt:i4>5</vt:i4>
      </vt:variant>
      <vt:variant>
        <vt:lpwstr/>
      </vt:variant>
      <vt:variant>
        <vt:lpwstr>_Toc113964181</vt:lpwstr>
      </vt:variant>
      <vt:variant>
        <vt:i4>1245237</vt:i4>
      </vt:variant>
      <vt:variant>
        <vt:i4>62</vt:i4>
      </vt:variant>
      <vt:variant>
        <vt:i4>0</vt:i4>
      </vt:variant>
      <vt:variant>
        <vt:i4>5</vt:i4>
      </vt:variant>
      <vt:variant>
        <vt:lpwstr/>
      </vt:variant>
      <vt:variant>
        <vt:lpwstr>_Toc113964180</vt:lpwstr>
      </vt:variant>
      <vt:variant>
        <vt:i4>1835061</vt:i4>
      </vt:variant>
      <vt:variant>
        <vt:i4>56</vt:i4>
      </vt:variant>
      <vt:variant>
        <vt:i4>0</vt:i4>
      </vt:variant>
      <vt:variant>
        <vt:i4>5</vt:i4>
      </vt:variant>
      <vt:variant>
        <vt:lpwstr/>
      </vt:variant>
      <vt:variant>
        <vt:lpwstr>_Toc113964179</vt:lpwstr>
      </vt:variant>
      <vt:variant>
        <vt:i4>1835061</vt:i4>
      </vt:variant>
      <vt:variant>
        <vt:i4>50</vt:i4>
      </vt:variant>
      <vt:variant>
        <vt:i4>0</vt:i4>
      </vt:variant>
      <vt:variant>
        <vt:i4>5</vt:i4>
      </vt:variant>
      <vt:variant>
        <vt:lpwstr/>
      </vt:variant>
      <vt:variant>
        <vt:lpwstr>_Toc113964178</vt:lpwstr>
      </vt:variant>
      <vt:variant>
        <vt:i4>1835061</vt:i4>
      </vt:variant>
      <vt:variant>
        <vt:i4>44</vt:i4>
      </vt:variant>
      <vt:variant>
        <vt:i4>0</vt:i4>
      </vt:variant>
      <vt:variant>
        <vt:i4>5</vt:i4>
      </vt:variant>
      <vt:variant>
        <vt:lpwstr/>
      </vt:variant>
      <vt:variant>
        <vt:lpwstr>_Toc113964177</vt:lpwstr>
      </vt:variant>
      <vt:variant>
        <vt:i4>1835061</vt:i4>
      </vt:variant>
      <vt:variant>
        <vt:i4>38</vt:i4>
      </vt:variant>
      <vt:variant>
        <vt:i4>0</vt:i4>
      </vt:variant>
      <vt:variant>
        <vt:i4>5</vt:i4>
      </vt:variant>
      <vt:variant>
        <vt:lpwstr/>
      </vt:variant>
      <vt:variant>
        <vt:lpwstr>_Toc113964176</vt:lpwstr>
      </vt:variant>
      <vt:variant>
        <vt:i4>1835061</vt:i4>
      </vt:variant>
      <vt:variant>
        <vt:i4>32</vt:i4>
      </vt:variant>
      <vt:variant>
        <vt:i4>0</vt:i4>
      </vt:variant>
      <vt:variant>
        <vt:i4>5</vt:i4>
      </vt:variant>
      <vt:variant>
        <vt:lpwstr/>
      </vt:variant>
      <vt:variant>
        <vt:lpwstr>_Toc113964175</vt:lpwstr>
      </vt:variant>
      <vt:variant>
        <vt:i4>1835061</vt:i4>
      </vt:variant>
      <vt:variant>
        <vt:i4>26</vt:i4>
      </vt:variant>
      <vt:variant>
        <vt:i4>0</vt:i4>
      </vt:variant>
      <vt:variant>
        <vt:i4>5</vt:i4>
      </vt:variant>
      <vt:variant>
        <vt:lpwstr/>
      </vt:variant>
      <vt:variant>
        <vt:lpwstr>_Toc113964174</vt:lpwstr>
      </vt:variant>
      <vt:variant>
        <vt:i4>1835061</vt:i4>
      </vt:variant>
      <vt:variant>
        <vt:i4>20</vt:i4>
      </vt:variant>
      <vt:variant>
        <vt:i4>0</vt:i4>
      </vt:variant>
      <vt:variant>
        <vt:i4>5</vt:i4>
      </vt:variant>
      <vt:variant>
        <vt:lpwstr/>
      </vt:variant>
      <vt:variant>
        <vt:lpwstr>_Toc113964173</vt:lpwstr>
      </vt:variant>
      <vt:variant>
        <vt:i4>1835061</vt:i4>
      </vt:variant>
      <vt:variant>
        <vt:i4>14</vt:i4>
      </vt:variant>
      <vt:variant>
        <vt:i4>0</vt:i4>
      </vt:variant>
      <vt:variant>
        <vt:i4>5</vt:i4>
      </vt:variant>
      <vt:variant>
        <vt:lpwstr/>
      </vt:variant>
      <vt:variant>
        <vt:lpwstr>_Toc113964172</vt:lpwstr>
      </vt:variant>
      <vt:variant>
        <vt:i4>1835061</vt:i4>
      </vt:variant>
      <vt:variant>
        <vt:i4>8</vt:i4>
      </vt:variant>
      <vt:variant>
        <vt:i4>0</vt:i4>
      </vt:variant>
      <vt:variant>
        <vt:i4>5</vt:i4>
      </vt:variant>
      <vt:variant>
        <vt:lpwstr/>
      </vt:variant>
      <vt:variant>
        <vt:lpwstr>_Toc113964171</vt:lpwstr>
      </vt:variant>
      <vt:variant>
        <vt:i4>1835061</vt:i4>
      </vt:variant>
      <vt:variant>
        <vt:i4>2</vt:i4>
      </vt:variant>
      <vt:variant>
        <vt:i4>0</vt:i4>
      </vt:variant>
      <vt:variant>
        <vt:i4>5</vt:i4>
      </vt:variant>
      <vt:variant>
        <vt:lpwstr/>
      </vt:variant>
      <vt:variant>
        <vt:lpwstr>_Toc113964170</vt:lpwstr>
      </vt:variant>
      <vt:variant>
        <vt:i4>589919</vt:i4>
      </vt:variant>
      <vt:variant>
        <vt:i4>0</vt:i4>
      </vt:variant>
      <vt:variant>
        <vt:i4>0</vt:i4>
      </vt:variant>
      <vt:variant>
        <vt:i4>5</vt:i4>
      </vt:variant>
      <vt:variant>
        <vt:lpwstr>http://www.restartregionu.cz/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Nekolová Gabriela</dc:creator>
  <cp:keywords/>
  <dc:description/>
  <cp:lastModifiedBy>Weissová Kristýna</cp:lastModifiedBy>
  <cp:revision>41</cp:revision>
  <cp:lastPrinted>2024-08-23T07:42:00Z</cp:lastPrinted>
  <dcterms:created xsi:type="dcterms:W3CDTF">2024-08-23T07:45:00Z</dcterms:created>
  <dcterms:modified xsi:type="dcterms:W3CDTF">2024-08-28T13:51:00Z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0x0101007984C3129CE6E94F967B3B03A604CB07</vt:lpwstr>
  </property>
</Properties>
</file>