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charts/chart6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62619E">
        <w:rPr>
          <w:rFonts w:ascii="Times New Roman" w:eastAsia="Times New Roman" w:hAnsi="Times New Roman" w:cs="Times New Roman"/>
          <w:b/>
          <w:sz w:val="28"/>
        </w:rPr>
        <w:t>3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62619E" w:rsidRPr="0062619E">
        <w:rPr>
          <w:rFonts w:ascii="Times New Roman" w:eastAsia="Times New Roman" w:hAnsi="Times New Roman" w:cs="Times New Roman"/>
          <w:sz w:val="28"/>
        </w:rPr>
        <w:t>3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62619E">
        <w:rPr>
          <w:rFonts w:ascii="Times New Roman" w:eastAsia="Times New Roman" w:hAnsi="Times New Roman" w:cs="Times New Roman"/>
          <w:sz w:val="28"/>
        </w:rPr>
        <w:t>11</w:t>
      </w:r>
      <w:r w:rsidRPr="000461FD">
        <w:rPr>
          <w:rFonts w:ascii="Times New Roman" w:eastAsia="Times New Roman" w:hAnsi="Times New Roman" w:cs="Times New Roman"/>
          <w:sz w:val="28"/>
        </w:rPr>
        <w:t>. 2015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6639B6">
        <w:rPr>
          <w:rFonts w:ascii="Times New Roman" w:eastAsia="Times New Roman" w:hAnsi="Times New Roman" w:cs="Times New Roman"/>
          <w:sz w:val="28"/>
        </w:rPr>
        <w:t>8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6B7C5F">
      <w:pPr>
        <w:pStyle w:val="Odstavecseseznamem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6639B6">
        <w:rPr>
          <w:rFonts w:ascii="Times New Roman" w:eastAsia="Times New Roman" w:hAnsi="Times New Roman"/>
          <w:sz w:val="28"/>
        </w:rPr>
        <w:t>Informace o stavu Regionálního akčního plánu (RAP)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0461FD" w:rsidRDefault="004F6236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6015F9" w:rsidRPr="000461FD" w:rsidRDefault="006015F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6015F9" w:rsidRPr="0062619E" w:rsidRDefault="000461FD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</w:r>
      <w:r w:rsidR="006639B6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Informaci o stavu Regionálního akčního plánu</w:t>
      </w:r>
      <w:r w:rsidR="003E3E3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Pr="00CB03E0" w:rsidRDefault="004F6236" w:rsidP="00624D7F">
      <w:pPr>
        <w:keepNext/>
        <w:rPr>
          <w:rFonts w:ascii="Times New Roman" w:hAnsi="Times New Roman" w:cs="Times New Roman"/>
        </w:rPr>
      </w:pPr>
      <w:r w:rsidRPr="00CB03E0"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B9696E" w:rsidRDefault="00B9696E" w:rsidP="00B9696E">
      <w:pPr>
        <w:pStyle w:val="Odstavecseseznamem"/>
        <w:jc w:val="both"/>
        <w:rPr>
          <w:rFonts w:ascii="Times New Roman" w:hAnsi="Times New Roman"/>
        </w:rPr>
      </w:pPr>
    </w:p>
    <w:p w:rsidR="00502984" w:rsidRPr="0096494A" w:rsidRDefault="00502984" w:rsidP="00502984">
      <w:pPr>
        <w:pStyle w:val="Odstavecseseznamem"/>
        <w:numPr>
          <w:ilvl w:val="0"/>
          <w:numId w:val="17"/>
        </w:numPr>
        <w:jc w:val="both"/>
        <w:rPr>
          <w:rFonts w:ascii="Times New Roman" w:hAnsi="Times New Roman"/>
          <w:u w:val="single"/>
        </w:rPr>
      </w:pPr>
      <w:r w:rsidRPr="0096494A">
        <w:rPr>
          <w:rFonts w:ascii="Times New Roman" w:hAnsi="Times New Roman"/>
          <w:u w:val="single"/>
        </w:rPr>
        <w:t xml:space="preserve">Informace o </w:t>
      </w:r>
      <w:r w:rsidR="00B9696E" w:rsidRPr="0096494A">
        <w:rPr>
          <w:rFonts w:ascii="Times New Roman" w:hAnsi="Times New Roman"/>
          <w:u w:val="single"/>
        </w:rPr>
        <w:t>aktualizaci Regionálního akčního plánu Karlovarského kraje (RAP)</w:t>
      </w:r>
    </w:p>
    <w:p w:rsidR="00B9696E" w:rsidRPr="00B9696E" w:rsidRDefault="00B9696E" w:rsidP="0096494A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Dosud poslední aktualizace Regionálního akčního plánu Karlovarského kraje (RAP) proběhla formou elektronického korespondenčního hlasování </w:t>
      </w:r>
      <w:r w:rsidRPr="00B9696E">
        <w:rPr>
          <w:rFonts w:ascii="Times New Roman" w:hAnsi="Times New Roman" w:cs="Times New Roman"/>
        </w:rPr>
        <w:t xml:space="preserve">ve dnech 1. - 15. 9. 2015 včetně. </w:t>
      </w:r>
      <w:r>
        <w:rPr>
          <w:rFonts w:ascii="Times New Roman" w:hAnsi="Times New Roman" w:cs="Times New Roman"/>
        </w:rPr>
        <w:t xml:space="preserve">Důvodem pro korespondenční hlasování bylo to, že </w:t>
      </w:r>
      <w:r w:rsidRPr="00B9696E">
        <w:rPr>
          <w:rFonts w:ascii="Times New Roman" w:hAnsi="Times New Roman" w:cs="Times New Roman"/>
        </w:rPr>
        <w:t xml:space="preserve">Ministerstvo pro místní rozvoj (MMR) si vyžádalo v druhé polovině srpna aktualizaci RAP v části, týkající se silnic 2. a 3. třídy, u nichž je plánována podpora z Integrovaného regionálního operačního programu (IROP). MMR požádalo o seznam projektů na modernizaci či výstavbu silničních úseků na silnicích 2. a 3. třídy, které budou jednotlivé kraje předkládat do výzev ve Specifickém cíli 1.1 IROP. (Seznam silnic 2. a 3. třídy způsobilých pro podporu z IROP byl již schválen Evropskou komisí při schvalování IROP a nelze jej měnit. Smyslem žádosti MMR </w:t>
      </w:r>
      <w:r>
        <w:rPr>
          <w:rFonts w:ascii="Times New Roman" w:hAnsi="Times New Roman" w:cs="Times New Roman"/>
        </w:rPr>
        <w:t>bylo</w:t>
      </w:r>
      <w:r w:rsidRPr="00B9696E">
        <w:rPr>
          <w:rFonts w:ascii="Times New Roman" w:hAnsi="Times New Roman" w:cs="Times New Roman"/>
        </w:rPr>
        <w:t xml:space="preserve"> pouze ověřit, že údaje v RAP, tj. plánované projekty silnic, odpovídají seznamu silnic schválenému Evropskou komisí v IROP, a že tedy v jednotlivých RAP nejsou plánovány silnice, které by tomuto seznamu neodpovídaly.) Aktualizovaný RAP si MMR vyžádalo s termínem 16. 9. 2015.</w:t>
      </w:r>
    </w:p>
    <w:p w:rsidR="00B9696E" w:rsidRPr="0096494A" w:rsidRDefault="00B9696E" w:rsidP="0096494A">
      <w:pPr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V rámci aktualizace RAP bylo tedy</w:t>
      </w:r>
      <w:r w:rsidRPr="00B9696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 připojení přílohy se seznamem silnic 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 </w:t>
      </w:r>
      <w:r w:rsidRPr="00B9696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aktualizace souhrnných finančních údajů a výše indikátorů pro aktivitu RAP "Rozvoj a modernizace silnic </w:t>
      </w:r>
      <w:r w:rsidRPr="00B9696E">
        <w:rPr>
          <w:rFonts w:ascii="Times New Roman" w:hAnsi="Times New Roman" w:cs="Times New Roman"/>
        </w:rPr>
        <w:t xml:space="preserve">II. a III. třídy v Karlovarském kraji". </w:t>
      </w:r>
      <w:r w:rsidRPr="00B9696E">
        <w:rPr>
          <w:rFonts w:ascii="Times New Roman" w:hAnsi="Times New Roman" w:cs="Times New Roman"/>
          <w:b/>
        </w:rPr>
        <w:t xml:space="preserve">Aktualizace RAP byla schválena většinou 15 hlasů, nikdo nebyl </w:t>
      </w:r>
      <w:r w:rsidRPr="0096494A">
        <w:rPr>
          <w:rFonts w:ascii="Times New Roman" w:hAnsi="Times New Roman" w:cs="Times New Roman"/>
          <w:b/>
          <w:szCs w:val="22"/>
        </w:rPr>
        <w:t>proti nebo se nezdržel hlasování. Tři členové Regionální stálé konference se hlasování nezúčastnili.</w:t>
      </w:r>
    </w:p>
    <w:p w:rsidR="00B9696E" w:rsidRPr="00B9696E" w:rsidRDefault="00B9696E" w:rsidP="0096494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Cs w:val="22"/>
        </w:rPr>
      </w:pPr>
      <w:r w:rsidRPr="00B9696E">
        <w:rPr>
          <w:rFonts w:ascii="Times New Roman" w:eastAsia="Times New Roman" w:hAnsi="Times New Roman" w:cs="Times New Roman"/>
          <w:color w:val="auto"/>
          <w:szCs w:val="22"/>
        </w:rPr>
        <w:t xml:space="preserve">Aktualizovaný RAP </w:t>
      </w:r>
      <w:r w:rsidR="0096494A" w:rsidRPr="0096494A">
        <w:rPr>
          <w:rFonts w:ascii="Times New Roman" w:eastAsia="Times New Roman" w:hAnsi="Times New Roman" w:cs="Times New Roman"/>
          <w:color w:val="auto"/>
          <w:szCs w:val="22"/>
        </w:rPr>
        <w:t>byl v požadovaném termínu do 16. 9. 2015 odeslán na MMR. Členům RSK byl rozeslán záznam o provedeném elektronickém korespondenčním hlasování a jeho výsledcích.</w:t>
      </w:r>
    </w:p>
    <w:p w:rsidR="00B9696E" w:rsidRPr="00415F71" w:rsidRDefault="00415F71" w:rsidP="00415F71">
      <w:pPr>
        <w:jc w:val="both"/>
        <w:rPr>
          <w:rFonts w:ascii="Times New Roman" w:hAnsi="Times New Roman" w:cs="Times New Roman"/>
          <w:b/>
        </w:rPr>
      </w:pPr>
      <w:r w:rsidRPr="00415F71">
        <w:rPr>
          <w:rFonts w:ascii="Times New Roman" w:hAnsi="Times New Roman" w:cs="Times New Roman"/>
          <w:b/>
        </w:rPr>
        <w:t>Pokud nenastanou další nepředvídané okolnosti (tj. například mimořádná žádost některého operačního programu), bude řádná aktualizace RAP probíhat v 1. pololetí 2016.</w:t>
      </w:r>
    </w:p>
    <w:p w:rsidR="00415F71" w:rsidRDefault="00415F71" w:rsidP="00415F71">
      <w:pPr>
        <w:jc w:val="both"/>
        <w:rPr>
          <w:rFonts w:ascii="Times New Roman" w:hAnsi="Times New Roman" w:cs="Times New Roman"/>
        </w:rPr>
      </w:pPr>
    </w:p>
    <w:p w:rsidR="0096494A" w:rsidRPr="0096494A" w:rsidRDefault="0096494A" w:rsidP="0096494A">
      <w:pPr>
        <w:pStyle w:val="Odstavecseseznamem"/>
        <w:numPr>
          <w:ilvl w:val="0"/>
          <w:numId w:val="17"/>
        </w:numPr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Stručná statistika</w:t>
      </w:r>
      <w:r w:rsidRPr="0096494A">
        <w:rPr>
          <w:rFonts w:ascii="Times New Roman" w:hAnsi="Times New Roman"/>
          <w:u w:val="single"/>
        </w:rPr>
        <w:t xml:space="preserve"> Regionálního akčního plánu Karlovarského kraje (RAP)</w:t>
      </w:r>
    </w:p>
    <w:p w:rsidR="0096494A" w:rsidRDefault="0096494A" w:rsidP="0096494A">
      <w:pPr>
        <w:pStyle w:val="Odstavecseseznamem"/>
        <w:ind w:left="360"/>
        <w:jc w:val="both"/>
        <w:rPr>
          <w:rFonts w:ascii="Times New Roman" w:hAnsi="Times New Roman"/>
        </w:rPr>
      </w:pPr>
    </w:p>
    <w:p w:rsidR="006639B6" w:rsidRPr="00CB03E0" w:rsidRDefault="006639B6" w:rsidP="0096494A">
      <w:pPr>
        <w:pStyle w:val="Odstavecseseznamem"/>
        <w:ind w:left="0"/>
        <w:jc w:val="both"/>
        <w:rPr>
          <w:rFonts w:ascii="Times New Roman" w:hAnsi="Times New Roman"/>
        </w:rPr>
      </w:pPr>
      <w:r w:rsidRPr="00CB03E0">
        <w:rPr>
          <w:rFonts w:ascii="Times New Roman" w:hAnsi="Times New Roman"/>
        </w:rPr>
        <w:t>Regionální stálá konference koordinuje přípravu a realizaci</w:t>
      </w:r>
      <w:r w:rsidR="006E3C9F" w:rsidRPr="00CB03E0">
        <w:rPr>
          <w:rFonts w:ascii="Times New Roman" w:hAnsi="Times New Roman"/>
        </w:rPr>
        <w:t xml:space="preserve"> aktivit a projektů, schvaluje Regionální akční plán (RAP). Každoročně bude předkládat Zprávu o hodnocení plnění RAP a rovněž Zprávu o plnění územní dimenze. RAP se bude aktualizovat maximálně ve dvouletých intervalech. V těchto souvislostech předkládáme </w:t>
      </w:r>
      <w:r w:rsidR="0096494A">
        <w:rPr>
          <w:rFonts w:ascii="Times New Roman" w:hAnsi="Times New Roman"/>
        </w:rPr>
        <w:t xml:space="preserve">na následujících stranách </w:t>
      </w:r>
      <w:r w:rsidR="006E3C9F" w:rsidRPr="00CB03E0">
        <w:rPr>
          <w:rFonts w:ascii="Times New Roman" w:hAnsi="Times New Roman"/>
        </w:rPr>
        <w:t>stručnou statistiku RAP</w:t>
      </w:r>
      <w:r w:rsidR="0096494A">
        <w:rPr>
          <w:rFonts w:ascii="Times New Roman" w:hAnsi="Times New Roman"/>
        </w:rPr>
        <w:t xml:space="preserve"> Karlovarského kraje</w:t>
      </w:r>
      <w:r w:rsidR="006E3C9F" w:rsidRPr="00CB03E0">
        <w:rPr>
          <w:rFonts w:ascii="Times New Roman" w:hAnsi="Times New Roman"/>
        </w:rPr>
        <w:t>.</w:t>
      </w:r>
    </w:p>
    <w:p w:rsidR="006E3C9F" w:rsidRDefault="006E3C9F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Default="0096494A" w:rsidP="006639B6">
      <w:pPr>
        <w:jc w:val="both"/>
        <w:rPr>
          <w:rFonts w:ascii="Times New Roman" w:hAnsi="Times New Roman" w:cs="Times New Roman"/>
        </w:rPr>
      </w:pPr>
    </w:p>
    <w:p w:rsidR="0096494A" w:rsidRPr="00CB03E0" w:rsidRDefault="0096494A" w:rsidP="006639B6">
      <w:pPr>
        <w:jc w:val="both"/>
        <w:rPr>
          <w:rFonts w:ascii="Times New Roman" w:hAnsi="Times New Roman" w:cs="Times New Roman"/>
        </w:rPr>
      </w:pPr>
    </w:p>
    <w:p w:rsidR="006E3C9F" w:rsidRDefault="006E3C9F" w:rsidP="006E3C9F">
      <w:pPr>
        <w:jc w:val="both"/>
        <w:rPr>
          <w:rFonts w:ascii="Times New Roman" w:eastAsia="Times New Roman" w:hAnsi="Times New Roman"/>
          <w:b/>
          <w:u w:val="single"/>
          <w:lang w:eastAsia="x-none"/>
        </w:rPr>
      </w:pPr>
      <w:r w:rsidRPr="00CB03E0">
        <w:rPr>
          <w:rFonts w:ascii="Times New Roman" w:eastAsia="Times New Roman" w:hAnsi="Times New Roman"/>
          <w:b/>
          <w:u w:val="single"/>
          <w:lang w:eastAsia="x-none"/>
        </w:rPr>
        <w:t>Kolik projektů v RAP má uveden rozpočet?</w:t>
      </w:r>
    </w:p>
    <w:p w:rsidR="00330B7C" w:rsidRPr="00330B7C" w:rsidRDefault="00330B7C" w:rsidP="006E3C9F">
      <w:p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Celkem je v RAP evidováno 1 486 projektů.</w:t>
      </w:r>
    </w:p>
    <w:p w:rsidR="00330B7C" w:rsidRDefault="00330B7C" w:rsidP="006E3C9F">
      <w:pPr>
        <w:jc w:val="both"/>
        <w:rPr>
          <w:rFonts w:ascii="Times New Roman" w:eastAsia="Times New Roman" w:hAnsi="Times New Roman"/>
          <w:lang w:eastAsia="x-none"/>
        </w:rPr>
      </w:pPr>
    </w:p>
    <w:p w:rsidR="00330B7C" w:rsidRPr="00330B7C" w:rsidRDefault="00330B7C" w:rsidP="006E3C9F">
      <w:p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Obr. 1</w:t>
      </w:r>
    </w:p>
    <w:p w:rsidR="00CB03E0" w:rsidRDefault="006E3C9F" w:rsidP="006E3C9F">
      <w:pPr>
        <w:jc w:val="both"/>
        <w:rPr>
          <w:rFonts w:ascii="Times New Roman" w:eastAsia="Times New Roman" w:hAnsi="Times New Roman"/>
          <w:lang w:eastAsia="x-none"/>
        </w:rPr>
      </w:pPr>
      <w:r>
        <w:rPr>
          <w:noProof/>
        </w:rPr>
        <w:drawing>
          <wp:inline distT="0" distB="0" distL="0" distR="0" wp14:anchorId="0B8E3FFC" wp14:editId="1D35EBD7">
            <wp:extent cx="5553075" cy="2762250"/>
            <wp:effectExtent l="0" t="0" r="952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B03E0" w:rsidRDefault="00CB03E0" w:rsidP="006E3C9F">
      <w:pPr>
        <w:jc w:val="both"/>
        <w:rPr>
          <w:rFonts w:ascii="Times New Roman" w:eastAsia="Times New Roman" w:hAnsi="Times New Roman"/>
          <w:lang w:eastAsia="x-none"/>
        </w:rPr>
      </w:pPr>
    </w:p>
    <w:p w:rsidR="00CB03E0" w:rsidRPr="00CB03E0" w:rsidRDefault="00CB03E0" w:rsidP="006E3C9F">
      <w:pPr>
        <w:jc w:val="both"/>
        <w:rPr>
          <w:rFonts w:ascii="Times New Roman" w:eastAsia="Times New Roman" w:hAnsi="Times New Roman"/>
          <w:b/>
          <w:lang w:eastAsia="x-none"/>
        </w:rPr>
      </w:pPr>
      <w:r w:rsidRPr="00CB03E0">
        <w:rPr>
          <w:rFonts w:ascii="Times New Roman" w:eastAsia="Times New Roman" w:hAnsi="Times New Roman"/>
          <w:b/>
          <w:lang w:eastAsia="x-none"/>
        </w:rPr>
        <w:t>Celkem 441 projektů, které jsou vedeny v RAP, tj. 30 % nemá uveden rozpočet.</w:t>
      </w:r>
    </w:p>
    <w:p w:rsidR="006639B6" w:rsidRDefault="006639B6" w:rsidP="006E3C9F">
      <w:pPr>
        <w:jc w:val="both"/>
        <w:rPr>
          <w:rFonts w:ascii="Times New Roman" w:eastAsia="Times New Roman" w:hAnsi="Times New Roman"/>
          <w:lang w:eastAsia="x-none"/>
        </w:rPr>
      </w:pPr>
    </w:p>
    <w:p w:rsidR="00CB03E0" w:rsidRDefault="00CB03E0" w:rsidP="006E3C9F">
      <w:pPr>
        <w:jc w:val="both"/>
        <w:rPr>
          <w:rFonts w:ascii="Times New Roman" w:eastAsia="Times New Roman" w:hAnsi="Times New Roman"/>
          <w:lang w:eastAsia="x-none"/>
        </w:rPr>
      </w:pPr>
    </w:p>
    <w:p w:rsidR="006E3C9F" w:rsidRDefault="00C24B45" w:rsidP="006E3C9F">
      <w:pPr>
        <w:jc w:val="both"/>
        <w:rPr>
          <w:rFonts w:ascii="Times New Roman" w:eastAsia="Times New Roman" w:hAnsi="Times New Roman"/>
          <w:b/>
          <w:u w:val="single"/>
          <w:lang w:eastAsia="x-none"/>
        </w:rPr>
      </w:pPr>
      <w:r w:rsidRPr="00CB03E0">
        <w:rPr>
          <w:rFonts w:ascii="Times New Roman" w:eastAsia="Times New Roman" w:hAnsi="Times New Roman"/>
          <w:b/>
          <w:u w:val="single"/>
          <w:lang w:eastAsia="x-none"/>
        </w:rPr>
        <w:t>Kolik projektů uvádí, že má stavební povolení?</w:t>
      </w:r>
    </w:p>
    <w:p w:rsidR="00CB03E0" w:rsidRPr="00CB03E0" w:rsidRDefault="00CB03E0" w:rsidP="006E3C9F">
      <w:pPr>
        <w:jc w:val="both"/>
        <w:rPr>
          <w:rFonts w:ascii="Times New Roman" w:eastAsia="Times New Roman" w:hAnsi="Times New Roman"/>
          <w:b/>
          <w:lang w:eastAsia="x-none"/>
        </w:rPr>
      </w:pPr>
      <w:r w:rsidRPr="00CB03E0">
        <w:rPr>
          <w:rFonts w:ascii="Times New Roman" w:eastAsia="Times New Roman" w:hAnsi="Times New Roman"/>
          <w:b/>
          <w:lang w:eastAsia="x-none"/>
        </w:rPr>
        <w:t>Celkem 17 (tj. pouze 1%) projektů uvádí, že potřebují a mají stavební povolení.</w:t>
      </w:r>
    </w:p>
    <w:p w:rsidR="00CB03E0" w:rsidRDefault="00CB03E0" w:rsidP="006E3C9F">
      <w:p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Celkem 107 (tj. 7%) projektů uvádí, že nepotřebují mít stavební povolení.</w:t>
      </w:r>
    </w:p>
    <w:p w:rsidR="00CB03E0" w:rsidRDefault="00CB03E0" w:rsidP="006E3C9F">
      <w:pPr>
        <w:jc w:val="both"/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Celkem 151 (tj. 10) projektů nemá uvedenu žádnou informaci o potřebě či stavu stavebního povolení.</w:t>
      </w:r>
    </w:p>
    <w:p w:rsidR="00CB03E0" w:rsidRPr="00CB03E0" w:rsidRDefault="00CB03E0" w:rsidP="006E3C9F">
      <w:pPr>
        <w:jc w:val="both"/>
        <w:rPr>
          <w:rFonts w:ascii="Times New Roman" w:eastAsia="Times New Roman" w:hAnsi="Times New Roman"/>
          <w:b/>
          <w:lang w:eastAsia="x-none"/>
        </w:rPr>
      </w:pPr>
      <w:r w:rsidRPr="00CB03E0">
        <w:rPr>
          <w:rFonts w:ascii="Times New Roman" w:eastAsia="Times New Roman" w:hAnsi="Times New Roman"/>
          <w:b/>
          <w:lang w:eastAsia="x-none"/>
        </w:rPr>
        <w:t>A celkem 1 193 (tj. 81%) projektů uvádí, že nemá stavební povolení.</w:t>
      </w:r>
    </w:p>
    <w:p w:rsidR="00330B7C" w:rsidRDefault="00330B7C">
      <w:pPr>
        <w:rPr>
          <w:rFonts w:ascii="Times New Roman" w:eastAsia="Times New Roman" w:hAnsi="Times New Roman"/>
          <w:lang w:eastAsia="x-none"/>
        </w:rPr>
      </w:pPr>
    </w:p>
    <w:p w:rsidR="00330B7C" w:rsidRDefault="00330B7C">
      <w:pPr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Obr. 2</w:t>
      </w:r>
    </w:p>
    <w:p w:rsidR="00C24B45" w:rsidRDefault="00C24B45">
      <w:pPr>
        <w:rPr>
          <w:rFonts w:ascii="Times New Roman" w:eastAsia="Times New Roman" w:hAnsi="Times New Roman"/>
          <w:lang w:eastAsia="x-none"/>
        </w:rPr>
      </w:pPr>
      <w:r>
        <w:rPr>
          <w:noProof/>
        </w:rPr>
        <w:lastRenderedPageBreak/>
        <w:drawing>
          <wp:inline distT="0" distB="0" distL="0" distR="0" wp14:anchorId="3CBD709B" wp14:editId="6E3C7B5B">
            <wp:extent cx="5581650" cy="3019425"/>
            <wp:effectExtent l="0" t="0" r="0" b="952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24B45" w:rsidRDefault="00C24B45">
      <w:pPr>
        <w:rPr>
          <w:rFonts w:ascii="Times New Roman" w:eastAsia="Times New Roman" w:hAnsi="Times New Roman"/>
          <w:lang w:eastAsia="x-none"/>
        </w:rPr>
      </w:pPr>
    </w:p>
    <w:p w:rsidR="00C24B45" w:rsidRDefault="00C24B45">
      <w:pPr>
        <w:rPr>
          <w:rFonts w:ascii="Times New Roman" w:eastAsia="Times New Roman" w:hAnsi="Times New Roman"/>
          <w:b/>
          <w:u w:val="single"/>
          <w:lang w:eastAsia="x-none"/>
        </w:rPr>
      </w:pPr>
      <w:r w:rsidRPr="00CB03E0">
        <w:rPr>
          <w:rFonts w:ascii="Times New Roman" w:eastAsia="Times New Roman" w:hAnsi="Times New Roman"/>
          <w:b/>
          <w:u w:val="single"/>
          <w:lang w:eastAsia="x-none"/>
        </w:rPr>
        <w:t>Kolik projektů má uvedeny indikátory?</w:t>
      </w:r>
    </w:p>
    <w:p w:rsidR="00CB03E0" w:rsidRDefault="00CB03E0">
      <w:pPr>
        <w:rPr>
          <w:rFonts w:ascii="Times New Roman" w:eastAsia="Times New Roman" w:hAnsi="Times New Roman"/>
          <w:b/>
          <w:u w:val="single"/>
          <w:lang w:eastAsia="x-none"/>
        </w:rPr>
      </w:pPr>
    </w:p>
    <w:p w:rsidR="00357F5C" w:rsidRDefault="00357F5C">
      <w:pPr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Indikátory jsou uvedeny pouze u 63 projektů (tj. 4%).</w:t>
      </w:r>
    </w:p>
    <w:p w:rsidR="00357F5C" w:rsidRDefault="00357F5C">
      <w:pPr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Celkem 1 405 projektů nemá uveden žádný indikátor (tj. 96 %)</w:t>
      </w:r>
    </w:p>
    <w:p w:rsidR="00330B7C" w:rsidRDefault="00330B7C">
      <w:pPr>
        <w:rPr>
          <w:rFonts w:ascii="Times New Roman" w:eastAsia="Times New Roman" w:hAnsi="Times New Roman"/>
          <w:lang w:eastAsia="x-none"/>
        </w:rPr>
      </w:pPr>
    </w:p>
    <w:p w:rsidR="00357F5C" w:rsidRPr="00357F5C" w:rsidRDefault="00330B7C">
      <w:pPr>
        <w:rPr>
          <w:rFonts w:ascii="Times New Roman" w:eastAsia="Times New Roman" w:hAnsi="Times New Roman"/>
          <w:lang w:eastAsia="x-none"/>
        </w:rPr>
      </w:pPr>
      <w:r>
        <w:rPr>
          <w:rFonts w:ascii="Times New Roman" w:eastAsia="Times New Roman" w:hAnsi="Times New Roman"/>
          <w:lang w:eastAsia="x-none"/>
        </w:rPr>
        <w:t>Obr. 3</w:t>
      </w:r>
      <w:r w:rsidR="00357F5C">
        <w:rPr>
          <w:rFonts w:ascii="Times New Roman" w:eastAsia="Times New Roman" w:hAnsi="Times New Roman"/>
          <w:lang w:eastAsia="x-none"/>
        </w:rPr>
        <w:t xml:space="preserve"> </w:t>
      </w:r>
    </w:p>
    <w:p w:rsidR="006639B6" w:rsidRDefault="00C24B45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-4445</wp:posOffset>
            </wp:positionV>
            <wp:extent cx="5324475" cy="2705100"/>
            <wp:effectExtent l="0" t="0" r="9525" b="0"/>
            <wp:wrapNone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96494A" w:rsidRDefault="0096494A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4A3414" w:rsidRPr="00330B7C" w:rsidRDefault="004A3414" w:rsidP="00330B7C">
      <w:pPr>
        <w:jc w:val="both"/>
        <w:rPr>
          <w:rFonts w:ascii="Times New Roman" w:eastAsia="Times New Roman" w:hAnsi="Times New Roman"/>
          <w:lang w:eastAsia="x-none"/>
        </w:rPr>
      </w:pP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Zaměřme se i</w:t>
      </w:r>
      <w:r w:rsidRPr="00CB03E0">
        <w:rPr>
          <w:rFonts w:ascii="Times New Roman" w:hAnsi="Times New Roman" w:cs="Times New Roman"/>
        </w:rPr>
        <w:t xml:space="preserve"> na spojitost projektů v RAP </w:t>
      </w:r>
      <w:r w:rsidR="0096494A">
        <w:rPr>
          <w:rFonts w:ascii="Times New Roman" w:hAnsi="Times New Roman" w:cs="Times New Roman"/>
        </w:rPr>
        <w:t>s</w:t>
      </w:r>
      <w:r w:rsidRPr="00CB03E0">
        <w:rPr>
          <w:rFonts w:ascii="Times New Roman" w:hAnsi="Times New Roman" w:cs="Times New Roman"/>
        </w:rPr>
        <w:t xml:space="preserve"> Program</w:t>
      </w:r>
      <w:r w:rsidR="0096494A">
        <w:rPr>
          <w:rFonts w:ascii="Times New Roman" w:hAnsi="Times New Roman" w:cs="Times New Roman"/>
        </w:rPr>
        <w:t>em</w:t>
      </w:r>
      <w:r w:rsidRPr="00CB03E0">
        <w:rPr>
          <w:rFonts w:ascii="Times New Roman" w:hAnsi="Times New Roman" w:cs="Times New Roman"/>
        </w:rPr>
        <w:t xml:space="preserve"> rozvoje Karlovarského kraje (PRKK). Tzn.</w:t>
      </w:r>
      <w:r>
        <w:rPr>
          <w:rFonts w:ascii="Times New Roman" w:hAnsi="Times New Roman" w:cs="Times New Roman"/>
        </w:rPr>
        <w:t xml:space="preserve">, </w:t>
      </w:r>
      <w:r w:rsidRPr="00CB03E0">
        <w:rPr>
          <w:rFonts w:ascii="Times New Roman" w:hAnsi="Times New Roman" w:cs="Times New Roman"/>
        </w:rPr>
        <w:t>jak projektové záměry naplňují jednotlivé prioritní osy PRKK.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</w:p>
    <w:p w:rsidR="00330B7C" w:rsidRPr="00CB03E0" w:rsidRDefault="00330B7C" w:rsidP="00330B7C">
      <w:pPr>
        <w:jc w:val="both"/>
        <w:rPr>
          <w:rFonts w:ascii="Times New Roman" w:hAnsi="Times New Roman" w:cs="Times New Roman"/>
          <w:b/>
          <w:u w:val="single"/>
        </w:rPr>
      </w:pPr>
      <w:r w:rsidRPr="00CB03E0">
        <w:rPr>
          <w:rFonts w:ascii="Times New Roman" w:hAnsi="Times New Roman" w:cs="Times New Roman"/>
          <w:b/>
          <w:u w:val="single"/>
        </w:rPr>
        <w:t>Přiřazení projektu k prioritám PRKK: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Priorita 1 Konkurenceschopnost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lastRenderedPageBreak/>
        <w:t>Priorita 2 Cestovní ruch a lázeňství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Priorita 3 Sociální oblast a zdravotnictví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Priorita 4 Životní prostředí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Priorita 5 Doprava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Priorita 6 Veřejná správa a systém řízení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  <w:b/>
        </w:rPr>
        <w:t>V databázi je uvedeno celkem 1468 projektů</w:t>
      </w:r>
      <w:r w:rsidRPr="00CB03E0">
        <w:rPr>
          <w:rFonts w:ascii="Times New Roman" w:hAnsi="Times New Roman" w:cs="Times New Roman"/>
        </w:rPr>
        <w:t xml:space="preserve">. 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 xml:space="preserve">- z toho 793 (tj. 54,02 %) projektů má uvedenu prioritu PRKK ke které se vztahuje, kterou naplňuje. </w:t>
      </w:r>
    </w:p>
    <w:p w:rsidR="00330B7C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 xml:space="preserve">- </w:t>
      </w:r>
      <w:r w:rsidRPr="00CB03E0">
        <w:rPr>
          <w:rFonts w:ascii="Times New Roman" w:hAnsi="Times New Roman" w:cs="Times New Roman"/>
          <w:b/>
        </w:rPr>
        <w:t>celkem 675 (tj. 45,98 %) projektů nemá uvedenu vazbu na Program rozvoje Karlovarského kraje</w:t>
      </w:r>
      <w:r w:rsidRPr="00CB03E0">
        <w:rPr>
          <w:rFonts w:ascii="Times New Roman" w:hAnsi="Times New Roman" w:cs="Times New Roman"/>
        </w:rPr>
        <w:t>. Buďto má projekt jiné zaměření, než která řeší PRKK</w:t>
      </w:r>
      <w:r w:rsidR="0096494A">
        <w:rPr>
          <w:rFonts w:ascii="Times New Roman" w:hAnsi="Times New Roman" w:cs="Times New Roman"/>
        </w:rPr>
        <w:t>,</w:t>
      </w:r>
      <w:r w:rsidRPr="00CB03E0">
        <w:rPr>
          <w:rFonts w:ascii="Times New Roman" w:hAnsi="Times New Roman" w:cs="Times New Roman"/>
        </w:rPr>
        <w:t xml:space="preserve"> nebo je nositel projektu nepřiřadil z jiných důvodů.</w:t>
      </w:r>
    </w:p>
    <w:p w:rsidR="00330B7C" w:rsidRDefault="00330B7C" w:rsidP="00330B7C">
      <w:pPr>
        <w:jc w:val="both"/>
        <w:rPr>
          <w:rFonts w:ascii="Times New Roman" w:hAnsi="Times New Roman" w:cs="Times New Roman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</w:rPr>
      </w:pPr>
    </w:p>
    <w:p w:rsidR="0096494A" w:rsidRPr="00CB03E0" w:rsidRDefault="0096494A" w:rsidP="00330B7C">
      <w:pPr>
        <w:jc w:val="both"/>
        <w:rPr>
          <w:rFonts w:ascii="Times New Roman" w:hAnsi="Times New Roman" w:cs="Times New Roman"/>
        </w:rPr>
      </w:pP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Obr. 4</w:t>
      </w:r>
    </w:p>
    <w:p w:rsidR="00330B7C" w:rsidRDefault="00330B7C" w:rsidP="00330B7C">
      <w:pPr>
        <w:jc w:val="both"/>
      </w:pPr>
      <w:r>
        <w:rPr>
          <w:noProof/>
        </w:rPr>
        <w:drawing>
          <wp:inline distT="0" distB="0" distL="0" distR="0" wp14:anchorId="60F1378A" wp14:editId="20EC84B3">
            <wp:extent cx="4629150" cy="2771775"/>
            <wp:effectExtent l="0" t="0" r="0" b="9525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30B7C" w:rsidRDefault="00330B7C" w:rsidP="00330B7C">
      <w:pPr>
        <w:jc w:val="both"/>
      </w:pPr>
    </w:p>
    <w:p w:rsidR="00330B7C" w:rsidRPr="00330B7C" w:rsidRDefault="00330B7C" w:rsidP="00330B7C">
      <w:pPr>
        <w:jc w:val="both"/>
        <w:rPr>
          <w:rFonts w:ascii="Times New Roman" w:hAnsi="Times New Roman" w:cs="Times New Roman"/>
        </w:rPr>
      </w:pPr>
      <w:r w:rsidRPr="00330B7C">
        <w:rPr>
          <w:rFonts w:ascii="Times New Roman" w:hAnsi="Times New Roman" w:cs="Times New Roman"/>
        </w:rPr>
        <w:t xml:space="preserve">Ze 793 projektů, které mají uvedenu prioritu PRKK ke které se vztahují,  </w:t>
      </w:r>
    </w:p>
    <w:p w:rsidR="00330B7C" w:rsidRPr="00330B7C" w:rsidRDefault="00330B7C" w:rsidP="00330B7C">
      <w:pPr>
        <w:jc w:val="both"/>
        <w:rPr>
          <w:rFonts w:ascii="Times New Roman" w:hAnsi="Times New Roman" w:cs="Times New Roman"/>
        </w:rPr>
      </w:pPr>
      <w:r w:rsidRPr="00330B7C">
        <w:rPr>
          <w:rFonts w:ascii="Times New Roman" w:hAnsi="Times New Roman" w:cs="Times New Roman"/>
        </w:rPr>
        <w:t>227 projektů naplňuje prioritu 1</w:t>
      </w:r>
    </w:p>
    <w:p w:rsidR="00330B7C" w:rsidRPr="00330B7C" w:rsidRDefault="00330B7C" w:rsidP="00330B7C">
      <w:pPr>
        <w:jc w:val="both"/>
        <w:rPr>
          <w:rFonts w:ascii="Times New Roman" w:hAnsi="Times New Roman" w:cs="Times New Roman"/>
        </w:rPr>
      </w:pPr>
      <w:r w:rsidRPr="00330B7C">
        <w:rPr>
          <w:rFonts w:ascii="Times New Roman" w:hAnsi="Times New Roman" w:cs="Times New Roman"/>
        </w:rPr>
        <w:t>218 projektů naplňuje prioritu 4</w:t>
      </w:r>
    </w:p>
    <w:p w:rsidR="00330B7C" w:rsidRPr="00330B7C" w:rsidRDefault="00330B7C" w:rsidP="00330B7C">
      <w:pPr>
        <w:jc w:val="both"/>
        <w:rPr>
          <w:rFonts w:ascii="Times New Roman" w:hAnsi="Times New Roman" w:cs="Times New Roman"/>
        </w:rPr>
      </w:pPr>
      <w:r w:rsidRPr="00330B7C">
        <w:rPr>
          <w:rFonts w:ascii="Times New Roman" w:hAnsi="Times New Roman" w:cs="Times New Roman"/>
        </w:rPr>
        <w:t>111 projektů naplňuje prioritu 3</w:t>
      </w:r>
    </w:p>
    <w:p w:rsidR="00330B7C" w:rsidRPr="00330B7C" w:rsidRDefault="00330B7C" w:rsidP="00330B7C">
      <w:pPr>
        <w:jc w:val="both"/>
        <w:rPr>
          <w:rFonts w:ascii="Times New Roman" w:hAnsi="Times New Roman" w:cs="Times New Roman"/>
        </w:rPr>
      </w:pPr>
      <w:r w:rsidRPr="00330B7C">
        <w:rPr>
          <w:rFonts w:ascii="Times New Roman" w:hAnsi="Times New Roman" w:cs="Times New Roman"/>
        </w:rPr>
        <w:t>93 projektů naplňuje prioritu 5</w:t>
      </w:r>
    </w:p>
    <w:p w:rsidR="00330B7C" w:rsidRPr="00330B7C" w:rsidRDefault="00330B7C" w:rsidP="00330B7C">
      <w:pPr>
        <w:jc w:val="both"/>
        <w:rPr>
          <w:rFonts w:ascii="Times New Roman" w:hAnsi="Times New Roman" w:cs="Times New Roman"/>
        </w:rPr>
      </w:pPr>
      <w:r w:rsidRPr="00330B7C">
        <w:rPr>
          <w:rFonts w:ascii="Times New Roman" w:hAnsi="Times New Roman" w:cs="Times New Roman"/>
        </w:rPr>
        <w:t>89 projektů naplňuje prioritu 2 a</w:t>
      </w:r>
    </w:p>
    <w:p w:rsidR="00330B7C" w:rsidRPr="00330B7C" w:rsidRDefault="00330B7C" w:rsidP="00330B7C">
      <w:pPr>
        <w:jc w:val="both"/>
        <w:rPr>
          <w:rFonts w:ascii="Times New Roman" w:hAnsi="Times New Roman" w:cs="Times New Roman"/>
        </w:rPr>
      </w:pPr>
      <w:r w:rsidRPr="00330B7C">
        <w:rPr>
          <w:rFonts w:ascii="Times New Roman" w:hAnsi="Times New Roman" w:cs="Times New Roman"/>
        </w:rPr>
        <w:t>55 projektů naplňuje prioritu 6</w:t>
      </w:r>
    </w:p>
    <w:p w:rsidR="00330B7C" w:rsidRDefault="00330B7C" w:rsidP="00330B7C">
      <w:pPr>
        <w:jc w:val="both"/>
        <w:rPr>
          <w:rFonts w:ascii="Times New Roman" w:hAnsi="Times New Roman" w:cs="Times New Roman"/>
        </w:rPr>
      </w:pPr>
    </w:p>
    <w:p w:rsidR="00330B7C" w:rsidRDefault="00330B7C" w:rsidP="00330B7C">
      <w:pPr>
        <w:jc w:val="both"/>
        <w:rPr>
          <w:rFonts w:ascii="Times New Roman" w:hAnsi="Times New Roman" w:cs="Times New Roman"/>
        </w:rPr>
      </w:pPr>
    </w:p>
    <w:p w:rsidR="00330B7C" w:rsidRPr="00330B7C" w:rsidRDefault="00330B7C" w:rsidP="00330B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Obr. 5</w:t>
      </w:r>
    </w:p>
    <w:p w:rsidR="00330B7C" w:rsidRDefault="00330B7C" w:rsidP="00330B7C">
      <w:pPr>
        <w:jc w:val="both"/>
      </w:pPr>
      <w:r>
        <w:rPr>
          <w:noProof/>
        </w:rPr>
        <w:drawing>
          <wp:inline distT="0" distB="0" distL="0" distR="0" wp14:anchorId="0D842E45" wp14:editId="22EFBB13">
            <wp:extent cx="5010150" cy="3048000"/>
            <wp:effectExtent l="0" t="0" r="0" b="0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30B7C" w:rsidRDefault="00330B7C" w:rsidP="00330B7C">
      <w:pPr>
        <w:jc w:val="both"/>
      </w:pPr>
    </w:p>
    <w:p w:rsidR="00135F33" w:rsidRDefault="00135F33" w:rsidP="00330B7C">
      <w:pPr>
        <w:jc w:val="both"/>
        <w:rPr>
          <w:rFonts w:ascii="Times New Roman" w:hAnsi="Times New Roman" w:cs="Times New Roman"/>
          <w:b/>
          <w:u w:val="single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  <w:b/>
          <w:u w:val="single"/>
        </w:rPr>
      </w:pPr>
    </w:p>
    <w:p w:rsidR="0096494A" w:rsidRDefault="0096494A" w:rsidP="00330B7C">
      <w:pPr>
        <w:jc w:val="both"/>
        <w:rPr>
          <w:rFonts w:ascii="Times New Roman" w:hAnsi="Times New Roman" w:cs="Times New Roman"/>
          <w:b/>
          <w:u w:val="single"/>
        </w:rPr>
      </w:pPr>
    </w:p>
    <w:p w:rsidR="00330B7C" w:rsidRPr="00CB03E0" w:rsidRDefault="00330B7C" w:rsidP="00330B7C">
      <w:pPr>
        <w:jc w:val="both"/>
        <w:rPr>
          <w:rFonts w:ascii="Times New Roman" w:hAnsi="Times New Roman" w:cs="Times New Roman"/>
          <w:b/>
          <w:u w:val="single"/>
        </w:rPr>
      </w:pPr>
      <w:r w:rsidRPr="00CB03E0">
        <w:rPr>
          <w:rFonts w:ascii="Times New Roman" w:hAnsi="Times New Roman" w:cs="Times New Roman"/>
          <w:b/>
          <w:u w:val="single"/>
        </w:rPr>
        <w:t>Z pohledu financí: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  <w:b/>
        </w:rPr>
      </w:pPr>
      <w:r w:rsidRPr="00CB03E0">
        <w:rPr>
          <w:rFonts w:ascii="Times New Roman" w:hAnsi="Times New Roman" w:cs="Times New Roman"/>
          <w:b/>
        </w:rPr>
        <w:t>Projekty, které nemají uvedenu žádnou prioritu</w:t>
      </w:r>
      <w:r w:rsidR="0096494A">
        <w:rPr>
          <w:rFonts w:ascii="Times New Roman" w:hAnsi="Times New Roman" w:cs="Times New Roman"/>
          <w:b/>
        </w:rPr>
        <w:t>,</w:t>
      </w:r>
      <w:r w:rsidRPr="00CB03E0">
        <w:rPr>
          <w:rFonts w:ascii="Times New Roman" w:hAnsi="Times New Roman" w:cs="Times New Roman"/>
          <w:b/>
        </w:rPr>
        <w:t xml:space="preserve"> představují 32 % celkových nákladů,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Projekty v</w:t>
      </w:r>
      <w:r w:rsidR="0096494A">
        <w:rPr>
          <w:rFonts w:ascii="Times New Roman" w:hAnsi="Times New Roman" w:cs="Times New Roman"/>
        </w:rPr>
        <w:t>z</w:t>
      </w:r>
      <w:r w:rsidRPr="00CB03E0">
        <w:rPr>
          <w:rFonts w:ascii="Times New Roman" w:hAnsi="Times New Roman" w:cs="Times New Roman"/>
        </w:rPr>
        <w:t>tahující se k prioritě 1</w:t>
      </w:r>
      <w:r w:rsidR="0096494A">
        <w:rPr>
          <w:rFonts w:ascii="Times New Roman" w:hAnsi="Times New Roman" w:cs="Times New Roman"/>
        </w:rPr>
        <w:t>,</w:t>
      </w:r>
      <w:r w:rsidRPr="00CB03E0">
        <w:rPr>
          <w:rFonts w:ascii="Times New Roman" w:hAnsi="Times New Roman" w:cs="Times New Roman"/>
        </w:rPr>
        <w:t xml:space="preserve"> představují 12 % celkových nákladů,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Projekty v</w:t>
      </w:r>
      <w:r w:rsidR="0096494A">
        <w:rPr>
          <w:rFonts w:ascii="Times New Roman" w:hAnsi="Times New Roman" w:cs="Times New Roman"/>
        </w:rPr>
        <w:t>z</w:t>
      </w:r>
      <w:r w:rsidRPr="00CB03E0">
        <w:rPr>
          <w:rFonts w:ascii="Times New Roman" w:hAnsi="Times New Roman" w:cs="Times New Roman"/>
        </w:rPr>
        <w:t>tahující se k prioritě 2</w:t>
      </w:r>
      <w:r w:rsidR="0096494A">
        <w:rPr>
          <w:rFonts w:ascii="Times New Roman" w:hAnsi="Times New Roman" w:cs="Times New Roman"/>
        </w:rPr>
        <w:t>,</w:t>
      </w:r>
      <w:r w:rsidRPr="00CB03E0">
        <w:rPr>
          <w:rFonts w:ascii="Times New Roman" w:hAnsi="Times New Roman" w:cs="Times New Roman"/>
        </w:rPr>
        <w:t xml:space="preserve"> představují 9 % celkových nákladů,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Projekty v</w:t>
      </w:r>
      <w:r w:rsidR="0096494A">
        <w:rPr>
          <w:rFonts w:ascii="Times New Roman" w:hAnsi="Times New Roman" w:cs="Times New Roman"/>
        </w:rPr>
        <w:t>z</w:t>
      </w:r>
      <w:r w:rsidRPr="00CB03E0">
        <w:rPr>
          <w:rFonts w:ascii="Times New Roman" w:hAnsi="Times New Roman" w:cs="Times New Roman"/>
        </w:rPr>
        <w:t>tahující se k prioritě 3</w:t>
      </w:r>
      <w:r w:rsidR="0096494A">
        <w:rPr>
          <w:rFonts w:ascii="Times New Roman" w:hAnsi="Times New Roman" w:cs="Times New Roman"/>
        </w:rPr>
        <w:t>,</w:t>
      </w:r>
      <w:r w:rsidRPr="00CB03E0">
        <w:rPr>
          <w:rFonts w:ascii="Times New Roman" w:hAnsi="Times New Roman" w:cs="Times New Roman"/>
        </w:rPr>
        <w:t xml:space="preserve"> představují 19 % celkových nákladů,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Projekty v</w:t>
      </w:r>
      <w:r w:rsidR="0096494A">
        <w:rPr>
          <w:rFonts w:ascii="Times New Roman" w:hAnsi="Times New Roman" w:cs="Times New Roman"/>
        </w:rPr>
        <w:t>z</w:t>
      </w:r>
      <w:r w:rsidRPr="00CB03E0">
        <w:rPr>
          <w:rFonts w:ascii="Times New Roman" w:hAnsi="Times New Roman" w:cs="Times New Roman"/>
        </w:rPr>
        <w:t>tahující se k prioritě 4</w:t>
      </w:r>
      <w:r w:rsidR="0096494A">
        <w:rPr>
          <w:rFonts w:ascii="Times New Roman" w:hAnsi="Times New Roman" w:cs="Times New Roman"/>
        </w:rPr>
        <w:t>,</w:t>
      </w:r>
      <w:r w:rsidRPr="00CB03E0">
        <w:rPr>
          <w:rFonts w:ascii="Times New Roman" w:hAnsi="Times New Roman" w:cs="Times New Roman"/>
        </w:rPr>
        <w:t xml:space="preserve"> představují 7 % celkových nákladů,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Projekty v</w:t>
      </w:r>
      <w:r w:rsidR="00415F71">
        <w:rPr>
          <w:rFonts w:ascii="Times New Roman" w:hAnsi="Times New Roman" w:cs="Times New Roman"/>
        </w:rPr>
        <w:t>z</w:t>
      </w:r>
      <w:r w:rsidRPr="00CB03E0">
        <w:rPr>
          <w:rFonts w:ascii="Times New Roman" w:hAnsi="Times New Roman" w:cs="Times New Roman"/>
        </w:rPr>
        <w:t>tahující se k prioritě 5</w:t>
      </w:r>
      <w:r w:rsidR="00415F71">
        <w:rPr>
          <w:rFonts w:ascii="Times New Roman" w:hAnsi="Times New Roman" w:cs="Times New Roman"/>
        </w:rPr>
        <w:t>,</w:t>
      </w:r>
      <w:r w:rsidRPr="00CB03E0">
        <w:rPr>
          <w:rFonts w:ascii="Times New Roman" w:hAnsi="Times New Roman" w:cs="Times New Roman"/>
        </w:rPr>
        <w:t xml:space="preserve"> představují 17 % celkových nákladů,</w:t>
      </w:r>
    </w:p>
    <w:p w:rsidR="00330B7C" w:rsidRPr="00CB03E0" w:rsidRDefault="00330B7C" w:rsidP="00330B7C">
      <w:pPr>
        <w:jc w:val="both"/>
        <w:rPr>
          <w:rFonts w:ascii="Times New Roman" w:hAnsi="Times New Roman" w:cs="Times New Roman"/>
        </w:rPr>
      </w:pPr>
      <w:r w:rsidRPr="00CB03E0">
        <w:rPr>
          <w:rFonts w:ascii="Times New Roman" w:hAnsi="Times New Roman" w:cs="Times New Roman"/>
        </w:rPr>
        <w:t>Projekty v</w:t>
      </w:r>
      <w:r w:rsidR="00415F71">
        <w:rPr>
          <w:rFonts w:ascii="Times New Roman" w:hAnsi="Times New Roman" w:cs="Times New Roman"/>
        </w:rPr>
        <w:t>z</w:t>
      </w:r>
      <w:r w:rsidRPr="00CB03E0">
        <w:rPr>
          <w:rFonts w:ascii="Times New Roman" w:hAnsi="Times New Roman" w:cs="Times New Roman"/>
        </w:rPr>
        <w:t>tahující se k prioritě 6</w:t>
      </w:r>
      <w:r w:rsidR="00415F71">
        <w:rPr>
          <w:rFonts w:ascii="Times New Roman" w:hAnsi="Times New Roman" w:cs="Times New Roman"/>
        </w:rPr>
        <w:t>,</w:t>
      </w:r>
      <w:r w:rsidRPr="00CB03E0">
        <w:rPr>
          <w:rFonts w:ascii="Times New Roman" w:hAnsi="Times New Roman" w:cs="Times New Roman"/>
        </w:rPr>
        <w:t xml:space="preserve"> představují 4 % celkových nákladů,</w:t>
      </w:r>
    </w:p>
    <w:p w:rsidR="00330B7C" w:rsidRDefault="00330B7C" w:rsidP="00330B7C">
      <w:pPr>
        <w:jc w:val="both"/>
      </w:pPr>
    </w:p>
    <w:p w:rsidR="00330B7C" w:rsidRDefault="00330B7C" w:rsidP="00415F71">
      <w:r w:rsidRPr="00415F71">
        <w:rPr>
          <w:rFonts w:ascii="Times New Roman" w:hAnsi="Times New Roman" w:cs="Times New Roman"/>
        </w:rPr>
        <w:lastRenderedPageBreak/>
        <w:t xml:space="preserve"> Obr.</w:t>
      </w:r>
      <w:r w:rsidR="00415F71">
        <w:rPr>
          <w:rFonts w:ascii="Times New Roman" w:hAnsi="Times New Roman" w:cs="Times New Roman"/>
        </w:rPr>
        <w:t xml:space="preserve"> </w:t>
      </w:r>
      <w:r w:rsidRPr="00415F71">
        <w:rPr>
          <w:rFonts w:ascii="Times New Roman" w:hAnsi="Times New Roman" w:cs="Times New Roman"/>
        </w:rPr>
        <w:t>6</w:t>
      </w:r>
      <w:r>
        <w:rPr>
          <w:noProof/>
        </w:rPr>
        <w:drawing>
          <wp:inline distT="0" distB="0" distL="0" distR="0" wp14:anchorId="61E88F9B" wp14:editId="31DA26FE">
            <wp:extent cx="5734050" cy="3238500"/>
            <wp:effectExtent l="0" t="0" r="0" b="0"/>
            <wp:docPr id="9" name="Graf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30B7C" w:rsidRDefault="00330B7C" w:rsidP="00330B7C">
      <w:pPr>
        <w:jc w:val="both"/>
        <w:rPr>
          <w:rFonts w:ascii="Times New Roman" w:eastAsia="Times New Roman" w:hAnsi="Times New Roman"/>
          <w:b/>
          <w:u w:val="single"/>
          <w:lang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</w:p>
    <w:sectPr w:rsidR="00C82A06" w:rsidRPr="00732BF2" w:rsidSect="00826A2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6B5" w:rsidRDefault="005506B5">
      <w:pPr>
        <w:spacing w:line="240" w:lineRule="auto"/>
      </w:pPr>
      <w:r>
        <w:separator/>
      </w:r>
    </w:p>
  </w:endnote>
  <w:endnote w:type="continuationSeparator" w:id="0">
    <w:p w:rsidR="005506B5" w:rsidRDefault="005506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19F" w:rsidRDefault="00ED71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9556527"/>
      <w:docPartObj>
        <w:docPartGallery w:val="Page Numbers (Bottom of Page)"/>
        <w:docPartUnique/>
      </w:docPartObj>
    </w:sdtPr>
    <w:sdtEndPr/>
    <w:sdtContent>
      <w:p w:rsidR="00357F5C" w:rsidRDefault="00357F5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12C">
          <w:rPr>
            <w:noProof/>
          </w:rPr>
          <w:t>1</w:t>
        </w:r>
        <w:r>
          <w:fldChar w:fldCharType="end"/>
        </w:r>
      </w:p>
    </w:sdtContent>
  </w:sdt>
  <w:p w:rsidR="00357F5C" w:rsidRDefault="00357F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19F" w:rsidRDefault="00ED71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6B5" w:rsidRDefault="005506B5">
      <w:pPr>
        <w:spacing w:line="240" w:lineRule="auto"/>
      </w:pPr>
      <w:r>
        <w:separator/>
      </w:r>
    </w:p>
  </w:footnote>
  <w:footnote w:type="continuationSeparator" w:id="0">
    <w:p w:rsidR="005506B5" w:rsidRDefault="005506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19F" w:rsidRDefault="00ED71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12C" w:rsidRDefault="0093012C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2DDEBB02" wp14:editId="54B91830">
          <wp:extent cx="3121889" cy="756000"/>
          <wp:effectExtent l="0" t="0" r="254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D719F" w:rsidRDefault="00ED719F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19F" w:rsidRDefault="00ED719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AC4482"/>
    <w:multiLevelType w:val="hybridMultilevel"/>
    <w:tmpl w:val="875C667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EB7105"/>
    <w:multiLevelType w:val="hybridMultilevel"/>
    <w:tmpl w:val="F66E9C34"/>
    <w:lvl w:ilvl="0" w:tplc="F74A6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6"/>
  </w:num>
  <w:num w:numId="9">
    <w:abstractNumId w:val="1"/>
  </w:num>
  <w:num w:numId="10">
    <w:abstractNumId w:val="14"/>
  </w:num>
  <w:num w:numId="11">
    <w:abstractNumId w:val="5"/>
  </w:num>
  <w:num w:numId="12">
    <w:abstractNumId w:val="8"/>
  </w:num>
  <w:num w:numId="13">
    <w:abstractNumId w:val="10"/>
  </w:num>
  <w:num w:numId="14">
    <w:abstractNumId w:val="4"/>
  </w:num>
  <w:num w:numId="15">
    <w:abstractNumId w:val="7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35F33"/>
    <w:rsid w:val="00161133"/>
    <w:rsid w:val="00194FB2"/>
    <w:rsid w:val="001C4B96"/>
    <w:rsid w:val="00212491"/>
    <w:rsid w:val="00236E1A"/>
    <w:rsid w:val="002F5652"/>
    <w:rsid w:val="00330B7C"/>
    <w:rsid w:val="00357F5C"/>
    <w:rsid w:val="003A5D55"/>
    <w:rsid w:val="003B7E49"/>
    <w:rsid w:val="003E3E3E"/>
    <w:rsid w:val="00415F71"/>
    <w:rsid w:val="004447BF"/>
    <w:rsid w:val="00464667"/>
    <w:rsid w:val="004A3414"/>
    <w:rsid w:val="004A7E91"/>
    <w:rsid w:val="004F6236"/>
    <w:rsid w:val="004F7D6D"/>
    <w:rsid w:val="00502984"/>
    <w:rsid w:val="00523BF9"/>
    <w:rsid w:val="005506B5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149"/>
    <w:rsid w:val="006639B6"/>
    <w:rsid w:val="00663B7A"/>
    <w:rsid w:val="006B7C5F"/>
    <w:rsid w:val="006C747C"/>
    <w:rsid w:val="006E3C9F"/>
    <w:rsid w:val="00732BF2"/>
    <w:rsid w:val="007F3CFE"/>
    <w:rsid w:val="007F71D6"/>
    <w:rsid w:val="00826A2D"/>
    <w:rsid w:val="0083070B"/>
    <w:rsid w:val="00843CEA"/>
    <w:rsid w:val="008C34EB"/>
    <w:rsid w:val="008F3882"/>
    <w:rsid w:val="0093012C"/>
    <w:rsid w:val="00961F8D"/>
    <w:rsid w:val="0096494A"/>
    <w:rsid w:val="009D20FD"/>
    <w:rsid w:val="00A95480"/>
    <w:rsid w:val="00AB512D"/>
    <w:rsid w:val="00AF7EBA"/>
    <w:rsid w:val="00B12E86"/>
    <w:rsid w:val="00B12F57"/>
    <w:rsid w:val="00B56D75"/>
    <w:rsid w:val="00B804DF"/>
    <w:rsid w:val="00B94B6A"/>
    <w:rsid w:val="00B9696E"/>
    <w:rsid w:val="00BF0B7D"/>
    <w:rsid w:val="00C0727D"/>
    <w:rsid w:val="00C24B45"/>
    <w:rsid w:val="00C8047C"/>
    <w:rsid w:val="00C82A06"/>
    <w:rsid w:val="00C87A1C"/>
    <w:rsid w:val="00CB03E0"/>
    <w:rsid w:val="00CC00F7"/>
    <w:rsid w:val="00D14156"/>
    <w:rsid w:val="00D358F8"/>
    <w:rsid w:val="00D4324F"/>
    <w:rsid w:val="00D91577"/>
    <w:rsid w:val="00DD43F5"/>
    <w:rsid w:val="00DE54BE"/>
    <w:rsid w:val="00DF30F6"/>
    <w:rsid w:val="00E817EB"/>
    <w:rsid w:val="00ED719F"/>
    <w:rsid w:val="00EE1B8B"/>
    <w:rsid w:val="00EE38D0"/>
    <w:rsid w:val="00F31172"/>
    <w:rsid w:val="00F60EF7"/>
    <w:rsid w:val="00F65BC7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6639B6"/>
    <w:pPr>
      <w:spacing w:line="240" w:lineRule="auto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6639B6"/>
    <w:rPr>
      <w:rFonts w:asciiTheme="minorHAnsi" w:eastAsiaTheme="minorEastAsia" w:hAnsiTheme="minorHAnsi" w:cstheme="minorBidi"/>
      <w:color w:val="auto"/>
      <w:szCs w:val="22"/>
    </w:rPr>
  </w:style>
  <w:style w:type="paragraph" w:styleId="Zhlav">
    <w:name w:val="header"/>
    <w:basedOn w:val="Normln"/>
    <w:link w:val="ZhlavChar"/>
    <w:uiPriority w:val="99"/>
    <w:unhideWhenUsed/>
    <w:rsid w:val="00CB03E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03E0"/>
  </w:style>
  <w:style w:type="paragraph" w:styleId="Zpat">
    <w:name w:val="footer"/>
    <w:basedOn w:val="Normln"/>
    <w:link w:val="ZpatChar"/>
    <w:uiPriority w:val="99"/>
    <w:unhideWhenUsed/>
    <w:rsid w:val="00CB03E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0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4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100" b="1"/>
              <a:t>P</a:t>
            </a:r>
            <a:r>
              <a:rPr lang="cs-CZ" sz="1100" b="1"/>
              <a:t>oměr</a:t>
            </a:r>
            <a:r>
              <a:rPr lang="cs-CZ" sz="1100" b="1" baseline="0"/>
              <a:t> projektů s uvedným a neuvedeným rozpočtem</a:t>
            </a:r>
            <a:endParaRPr lang="en-US" sz="1100" b="1"/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4F0-44FA-96A9-E66FBA20EE2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4F0-44FA-96A9-E66FBA20EE21}"/>
              </c:ext>
            </c:extLst>
          </c:dPt>
          <c:dLbls>
            <c:dLbl>
              <c:idx val="0"/>
              <c:layout>
                <c:manualLayout>
                  <c:x val="8.3168431532265365E-3"/>
                  <c:y val="1.879360519814350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4F0-44FA-96A9-E66FBA20EE21}"/>
                </c:ext>
              </c:extLst>
            </c:dLbl>
            <c:dLbl>
              <c:idx val="1"/>
              <c:layout>
                <c:manualLayout>
                  <c:x val="-1.1397520137569044E-2"/>
                  <c:y val="-1.97672503823750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4F0-44FA-96A9-E66FBA20EE21}"/>
                </c:ext>
              </c:extLst>
            </c:dLbl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'Bez uvedení rozpočtu'!$A$2:$A$3</c:f>
              <c:strCache>
                <c:ptCount val="2"/>
                <c:pt idx="0">
                  <c:v>Projetky bez uvedení rozpočtu</c:v>
                </c:pt>
                <c:pt idx="1">
                  <c:v>Projekty s uvedením rozpočtu</c:v>
                </c:pt>
              </c:strCache>
            </c:strRef>
          </c:cat>
          <c:val>
            <c:numRef>
              <c:f>'Bez uvedení rozpočtu'!$B$2:$B$3</c:f>
              <c:numCache>
                <c:formatCode>General</c:formatCode>
                <c:ptCount val="2"/>
                <c:pt idx="0">
                  <c:v>441</c:v>
                </c:pt>
                <c:pt idx="1">
                  <c:v>1027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4F0-44FA-96A9-E66FBA20EE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100" b="1"/>
              <a:t>Projekty dle stavu stavebního povolení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A7F-481C-BDB3-DCF86CC4137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A7F-481C-BDB3-DCF86CC4137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0A7F-481C-BDB3-DCF86CC4137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0A7F-481C-BDB3-DCF86CC41371}"/>
              </c:ext>
            </c:extLst>
          </c:dPt>
          <c:dLbls>
            <c:dLbl>
              <c:idx val="1"/>
              <c:layout>
                <c:manualLayout>
                  <c:x val="6.2213715302569285E-2"/>
                  <c:y val="-7.181770330171725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A7F-481C-BDB3-DCF86CC41371}"/>
                </c:ext>
              </c:extLst>
            </c:dLbl>
            <c:dLbl>
              <c:idx val="2"/>
              <c:layout>
                <c:manualLayout>
                  <c:x val="1.5870554744858599E-3"/>
                  <c:y val="2.510858731975397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A7F-481C-BDB3-DCF86CC41371}"/>
                </c:ext>
              </c:extLst>
            </c:dLbl>
            <c:dLbl>
              <c:idx val="3"/>
              <c:layout>
                <c:manualLayout>
                  <c:x val="3.2446655248373232E-3"/>
                  <c:y val="1.725034475199522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7F-481C-BDB3-DCF86CC41371}"/>
                </c:ext>
              </c:extLst>
            </c:dLbl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'Stavební povolení, ÚR'!$A$3:$A$6</c:f>
              <c:strCache>
                <c:ptCount val="4"/>
                <c:pt idx="0">
                  <c:v>Má stavební povolení</c:v>
                </c:pt>
                <c:pt idx="1">
                  <c:v>Nemá stavební povolení</c:v>
                </c:pt>
                <c:pt idx="2">
                  <c:v>Není nutné stavební povolení</c:v>
                </c:pt>
                <c:pt idx="3">
                  <c:v>Není uvedeno</c:v>
                </c:pt>
              </c:strCache>
            </c:strRef>
          </c:cat>
          <c:val>
            <c:numRef>
              <c:f>'Stavební povolení, ÚR'!$B$3:$B$6</c:f>
              <c:numCache>
                <c:formatCode>General</c:formatCode>
                <c:ptCount val="4"/>
                <c:pt idx="0">
                  <c:v>17</c:v>
                </c:pt>
                <c:pt idx="1">
                  <c:v>1193</c:v>
                </c:pt>
                <c:pt idx="2">
                  <c:v>107</c:v>
                </c:pt>
                <c:pt idx="3">
                  <c:v>151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0A7F-481C-BDB3-DCF86CC413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100" b="1"/>
              <a:t>Uvedení indikátorů v projektech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BFF-4223-A5BB-91B14F5EA1C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BFF-4223-A5BB-91B14F5EA1CC}"/>
              </c:ext>
            </c:extLst>
          </c:dPt>
          <c:dLbls>
            <c:dLbl>
              <c:idx val="0"/>
              <c:layout>
                <c:manualLayout>
                  <c:x val="-1.2141780149821698E-2"/>
                  <c:y val="-4.160646100803215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BFF-4223-A5BB-91B14F5EA1CC}"/>
                </c:ext>
              </c:extLst>
            </c:dLbl>
            <c:dLbl>
              <c:idx val="1"/>
              <c:layout>
                <c:manualLayout>
                  <c:x val="0.2325870606380388"/>
                  <c:y val="-0.3021148604924225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BFF-4223-A5BB-91B14F5EA1CC}"/>
                </c:ext>
              </c:extLst>
            </c:dLbl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'uvedení indikátorů'!$A$2:$A$3</c:f>
              <c:strCache>
                <c:ptCount val="2"/>
                <c:pt idx="0">
                  <c:v>Indikátory ANO </c:v>
                </c:pt>
                <c:pt idx="1">
                  <c:v>Indikátory NE</c:v>
                </c:pt>
              </c:strCache>
            </c:strRef>
          </c:cat>
          <c:val>
            <c:numRef>
              <c:f>'uvedení indikátorů'!$B$2:$B$3</c:f>
              <c:numCache>
                <c:formatCode>General</c:formatCode>
                <c:ptCount val="2"/>
                <c:pt idx="0">
                  <c:v>63</c:v>
                </c:pt>
                <c:pt idx="1">
                  <c:v>1405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BFF-4223-A5BB-91B14F5EA1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cs-CZ" sz="1100" b="1"/>
              <a:t>Přiřazení alespoň priority</a:t>
            </a:r>
          </a:p>
        </c:rich>
      </c:tx>
      <c:overlay val="0"/>
      <c:spPr>
        <a:noFill/>
        <a:ln w="25400">
          <a:noFill/>
        </a:ln>
      </c:spPr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136-4153-A854-CB94375B09F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136-4153-A854-CB94375B09F8}"/>
              </c:ext>
            </c:extLst>
          </c:dPt>
          <c:dLbls>
            <c:dLbl>
              <c:idx val="0"/>
              <c:layout>
                <c:manualLayout>
                  <c:x val="2.8078521434820751E-2"/>
                  <c:y val="-0.10584973753280839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cs-CZ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136-4153-A854-CB94375B09F8}"/>
                </c:ext>
              </c:extLst>
            </c:dLbl>
            <c:dLbl>
              <c:idx val="1"/>
              <c:layout>
                <c:manualLayout>
                  <c:x val="-4.3766404199475066E-4"/>
                  <c:y val="-4.286672499270924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cs-CZ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136-4153-A854-CB94375B09F8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'Souhrn dle priorit'!$A$35:$A$36</c:f>
              <c:strCache>
                <c:ptCount val="2"/>
                <c:pt idx="0">
                  <c:v>projekty, které mají označenu alespoň prioritu</c:v>
                </c:pt>
                <c:pt idx="1">
                  <c:v>bez uvedení priority</c:v>
                </c:pt>
              </c:strCache>
            </c:strRef>
          </c:cat>
          <c:val>
            <c:numRef>
              <c:f>'Souhrn dle priorit'!$B$35:$B$36</c:f>
              <c:numCache>
                <c:formatCode>General</c:formatCode>
                <c:ptCount val="2"/>
                <c:pt idx="0">
                  <c:v>793</c:v>
                </c:pt>
                <c:pt idx="1">
                  <c:v>675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136-4153-A854-CB94375B09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7887139107611549E-2"/>
          <c:y val="0.86168924536606839"/>
          <c:w val="0.8786699475065618"/>
          <c:h val="0.11053292251512037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1100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r>
              <a:rPr lang="cs-CZ"/>
              <a:t>Počety projektů v RAP podle priorit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4F81BD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'Souhrn dle priorit'!$A$2:$A$8</c:f>
              <c:strCache>
                <c:ptCount val="7"/>
                <c:pt idx="0">
                  <c:v>priorita 1</c:v>
                </c:pt>
                <c:pt idx="1">
                  <c:v>priorita 2</c:v>
                </c:pt>
                <c:pt idx="2">
                  <c:v>priorita 3</c:v>
                </c:pt>
                <c:pt idx="3">
                  <c:v>priorita 4</c:v>
                </c:pt>
                <c:pt idx="4">
                  <c:v>priorita 5</c:v>
                </c:pt>
                <c:pt idx="5">
                  <c:v>priorita 6</c:v>
                </c:pt>
                <c:pt idx="6">
                  <c:v>bez uvedení priority</c:v>
                </c:pt>
              </c:strCache>
            </c:strRef>
          </c:cat>
          <c:val>
            <c:numRef>
              <c:f>'Souhrn dle priorit'!$B$2:$B$8</c:f>
              <c:numCache>
                <c:formatCode>General</c:formatCode>
                <c:ptCount val="7"/>
                <c:pt idx="0">
                  <c:v>227</c:v>
                </c:pt>
                <c:pt idx="1">
                  <c:v>89</c:v>
                </c:pt>
                <c:pt idx="2">
                  <c:v>111</c:v>
                </c:pt>
                <c:pt idx="3">
                  <c:v>218</c:v>
                </c:pt>
                <c:pt idx="4">
                  <c:v>93</c:v>
                </c:pt>
                <c:pt idx="5">
                  <c:v>55</c:v>
                </c:pt>
                <c:pt idx="6">
                  <c:v>675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03-4533-9271-65F904C482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43434608"/>
        <c:axId val="243434216"/>
      </c:barChart>
      <c:catAx>
        <c:axId val="243434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243434216"/>
        <c:crosses val="autoZero"/>
        <c:auto val="1"/>
        <c:lblAlgn val="ctr"/>
        <c:lblOffset val="100"/>
        <c:noMultiLvlLbl val="0"/>
      </c:catAx>
      <c:valAx>
        <c:axId val="2434342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2434346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100" b="1"/>
              <a:t>Projekty v RAP dle priorit</a:t>
            </a:r>
            <a:r>
              <a:rPr lang="cs-CZ" sz="1100" b="1" baseline="0"/>
              <a:t> a financí</a:t>
            </a:r>
            <a:endParaRPr lang="cs-CZ" sz="1100" b="1"/>
          </a:p>
        </c:rich>
      </c:tx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2900918635170603"/>
          <c:y val="0.13642296875040727"/>
          <c:w val="0.68111446030183731"/>
          <c:h val="0.7514360030502665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4F81BD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'Souhrn dle financí'!$A$3:$A$9</c:f>
              <c:strCache>
                <c:ptCount val="7"/>
                <c:pt idx="0">
                  <c:v>priorita 1</c:v>
                </c:pt>
                <c:pt idx="1">
                  <c:v>priorita 2</c:v>
                </c:pt>
                <c:pt idx="2">
                  <c:v>priorita 3</c:v>
                </c:pt>
                <c:pt idx="3">
                  <c:v>priorita 4</c:v>
                </c:pt>
                <c:pt idx="4">
                  <c:v>priorita 5</c:v>
                </c:pt>
                <c:pt idx="5">
                  <c:v>priorita 6</c:v>
                </c:pt>
                <c:pt idx="6">
                  <c:v>bez uvedení priority</c:v>
                </c:pt>
              </c:strCache>
            </c:strRef>
          </c:cat>
          <c:val>
            <c:numRef>
              <c:f>'Souhrn dle financí'!$B$3:$B$9</c:f>
              <c:numCache>
                <c:formatCode>_(* #,##0.00_);_(* \(#,##0.00\);_(* "-"??_);_(@_)</c:formatCode>
                <c:ptCount val="7"/>
                <c:pt idx="0">
                  <c:v>2549958160</c:v>
                </c:pt>
                <c:pt idx="1">
                  <c:v>1827006487</c:v>
                </c:pt>
                <c:pt idx="2">
                  <c:v>4060297912</c:v>
                </c:pt>
                <c:pt idx="3">
                  <c:v>1557833302</c:v>
                </c:pt>
                <c:pt idx="4">
                  <c:v>3713010003</c:v>
                </c:pt>
                <c:pt idx="5">
                  <c:v>866964421</c:v>
                </c:pt>
                <c:pt idx="6">
                  <c:v>6881484977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48D-4E40-A81B-24940DC9DF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43432648"/>
        <c:axId val="243435000"/>
      </c:barChart>
      <c:catAx>
        <c:axId val="2434326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43435000"/>
        <c:crosses val="autoZero"/>
        <c:auto val="1"/>
        <c:lblAlgn val="ctr"/>
        <c:lblOffset val="100"/>
        <c:noMultiLvlLbl val="0"/>
      </c:catAx>
      <c:valAx>
        <c:axId val="2434350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.00_);_(* \(#,##0.00\);_(* &quot;-&quot;??_);_(@_)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434326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C43"/>
    <w:rsid w:val="00444C43"/>
    <w:rsid w:val="00D3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E057988836F4815A5FCC13E270D7317">
    <w:name w:val="2E057988836F4815A5FCC13E270D7317"/>
    <w:rsid w:val="00444C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celář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celář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Kancelář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81321-B3A1-4945-B64A-07AF7E7B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739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8</cp:revision>
  <dcterms:created xsi:type="dcterms:W3CDTF">2015-10-26T14:25:00Z</dcterms:created>
  <dcterms:modified xsi:type="dcterms:W3CDTF">2017-07-26T13:24:00Z</dcterms:modified>
</cp:coreProperties>
</file>