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5Dark-Accent5"/>
        <w:tblpPr w:leftFromText="141" w:rightFromText="141" w:horzAnchor="margin" w:tblpY="334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4D658A" w14:paraId="77593B4A" w14:textId="77777777" w:rsidTr="008F4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D5F8FC1" w14:textId="799E7558" w:rsidR="004D658A" w:rsidRPr="004D658A" w:rsidRDefault="004D658A" w:rsidP="00F71707">
            <w:pPr>
              <w:rPr>
                <w:sz w:val="28"/>
                <w:szCs w:val="28"/>
              </w:rPr>
            </w:pPr>
            <w:r w:rsidRPr="004D658A">
              <w:rPr>
                <w:sz w:val="28"/>
                <w:szCs w:val="28"/>
              </w:rPr>
              <w:t>Název výzvy</w:t>
            </w:r>
            <w:r w:rsidR="00003061">
              <w:rPr>
                <w:sz w:val="28"/>
                <w:szCs w:val="28"/>
              </w:rPr>
              <w:t>:</w:t>
            </w:r>
            <w:r w:rsidRPr="004D65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14:paraId="761AA5D8" w14:textId="7631F22D" w:rsidR="004D658A" w:rsidRDefault="009875F3" w:rsidP="00E83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75F3">
              <w:t>R</w:t>
            </w:r>
            <w:r w:rsidR="00E83707">
              <w:t>ozvoj vodíkového</w:t>
            </w:r>
            <w:r w:rsidRPr="009875F3">
              <w:t xml:space="preserve"> údolí - </w:t>
            </w:r>
            <w:r w:rsidR="00327BE1" w:rsidRPr="00327BE1">
              <w:t>podpora přípravy projektů v oblasti rozvoje vodíkového hospodářství</w:t>
            </w:r>
          </w:p>
        </w:tc>
      </w:tr>
      <w:tr w:rsidR="008F42A0" w14:paraId="19223C92" w14:textId="77777777" w:rsidTr="00327B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5446E69" w14:textId="77777777" w:rsidR="008F42A0" w:rsidRDefault="008F42A0" w:rsidP="008F42A0">
            <w:r>
              <w:t>Alokace:</w:t>
            </w:r>
          </w:p>
        </w:tc>
        <w:tc>
          <w:tcPr>
            <w:tcW w:w="7087" w:type="dxa"/>
          </w:tcPr>
          <w:p w14:paraId="1D4C749C" w14:textId="530CB846" w:rsidR="008F42A0" w:rsidRDefault="00CD00AF" w:rsidP="00327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Předpoklad</w:t>
            </w:r>
            <w:r w:rsidR="005D0DFC">
              <w:t xml:space="preserve">: </w:t>
            </w:r>
            <w:r w:rsidR="00DD49E3">
              <w:t>3</w:t>
            </w:r>
            <w:r w:rsidR="008F42A0">
              <w:t>0 000 000 Kč</w:t>
            </w:r>
          </w:p>
        </w:tc>
      </w:tr>
      <w:tr w:rsidR="004D658A" w14:paraId="18AD127F" w14:textId="77777777" w:rsidTr="00114CE7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17A73D8" w14:textId="77777777" w:rsidR="004D658A" w:rsidRDefault="004D658A" w:rsidP="00F71707">
            <w:r>
              <w:t>Specifický cíl PTÚK :</w:t>
            </w:r>
          </w:p>
        </w:tc>
        <w:tc>
          <w:tcPr>
            <w:tcW w:w="7087" w:type="dxa"/>
          </w:tcPr>
          <w:p w14:paraId="61BB1842" w14:textId="77777777" w:rsidR="00A96778" w:rsidRPr="004D1CFC" w:rsidRDefault="00A96778" w:rsidP="00263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CFC">
              <w:t xml:space="preserve">SC III.1: Rozvoj znalostí, technologií, systémů a infrastruktur pro čistou energii </w:t>
            </w:r>
          </w:p>
          <w:p w14:paraId="619E804E" w14:textId="77777777" w:rsidR="00A96778" w:rsidRDefault="00A96778" w:rsidP="00A967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CFC">
              <w:t>SC III.2 – Rozvoj nových energetických odvětví</w:t>
            </w:r>
            <w:r>
              <w:t xml:space="preserve"> </w:t>
            </w:r>
          </w:p>
        </w:tc>
      </w:tr>
      <w:tr w:rsidR="00C65A18" w14:paraId="588F1A65" w14:textId="77777777" w:rsidTr="00C32C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AB43AA" w14:textId="77777777" w:rsidR="00C65A18" w:rsidRDefault="00C65A18" w:rsidP="00F71707">
            <w:r>
              <w:t>Termín vyhlášení výzvy:</w:t>
            </w:r>
          </w:p>
        </w:tc>
        <w:tc>
          <w:tcPr>
            <w:tcW w:w="7087" w:type="dxa"/>
          </w:tcPr>
          <w:p w14:paraId="6EAF5CFC" w14:textId="21FAE3A6" w:rsidR="001B4A26" w:rsidRPr="005F12C7" w:rsidRDefault="009465E1" w:rsidP="008D6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Předpoklad: přelom roku 2023/2024</w:t>
            </w:r>
          </w:p>
        </w:tc>
      </w:tr>
      <w:tr w:rsidR="00DA3BEA" w14:paraId="7A1EB457" w14:textId="77777777" w:rsidTr="00500990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4F46F6F" w14:textId="77777777" w:rsidR="00DA3BEA" w:rsidRDefault="00DA3BEA" w:rsidP="00F71707">
            <w:r>
              <w:t>Typ výzvy:</w:t>
            </w:r>
          </w:p>
        </w:tc>
        <w:tc>
          <w:tcPr>
            <w:tcW w:w="7087" w:type="dxa"/>
          </w:tcPr>
          <w:p w14:paraId="3063A787" w14:textId="46911AB3" w:rsidR="00DA3BEA" w:rsidRPr="00DA3BEA" w:rsidRDefault="009465E1" w:rsidP="0088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Průběžná – 12 měsíců od vyhlášení výzvy do vyčerpání alokace</w:t>
            </w:r>
          </w:p>
        </w:tc>
      </w:tr>
      <w:tr w:rsidR="004D658A" w14:paraId="0928F393" w14:textId="77777777" w:rsidTr="00C32C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6F966B2" w14:textId="77777777" w:rsidR="004D658A" w:rsidRDefault="004D658A" w:rsidP="00F71707">
            <w:r>
              <w:t>Oprávnění příjemci:</w:t>
            </w:r>
          </w:p>
        </w:tc>
        <w:tc>
          <w:tcPr>
            <w:tcW w:w="7087" w:type="dxa"/>
          </w:tcPr>
          <w:p w14:paraId="1D8E65CA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kraje </w:t>
            </w:r>
          </w:p>
          <w:p w14:paraId="7AE3AA3B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obce</w:t>
            </w:r>
          </w:p>
          <w:p w14:paraId="0B068DF3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dobrovolné svazky obcí</w:t>
            </w:r>
          </w:p>
          <w:p w14:paraId="15806824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příspěvkové organizace zřízené ÚSC</w:t>
            </w:r>
          </w:p>
          <w:p w14:paraId="7A27DDC7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výzkumné organizace podle zákona č. 130/2002 Sb., o podpoře výzkumu, experimentálního vývoje a inovací z veřejných prostředků a o změně některých souvisejících zákonů zákon o podpoře výzkumu a experimentálního vývoje a inovací), ve znění pozdějších předpisů, pokud jsou veřejnoprávními subjekty,</w:t>
            </w:r>
          </w:p>
          <w:p w14:paraId="66741E0A" w14:textId="7DC1D70F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vysoké školy, školy a školská zařízení a školské právnické osoby</w:t>
            </w:r>
          </w:p>
          <w:p w14:paraId="0FB1647D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nestátní neziskové organizace a církve</w:t>
            </w:r>
          </w:p>
          <w:p w14:paraId="2368D6BE" w14:textId="77777777" w:rsidR="00327BE1" w:rsidRPr="00327BE1" w:rsidRDefault="00327BE1" w:rsidP="00327BE1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ind w:left="315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obchodní společnosti a družstva</w:t>
            </w:r>
          </w:p>
          <w:p w14:paraId="08030DDE" w14:textId="77777777" w:rsidR="00327BE1" w:rsidRPr="00327BE1" w:rsidRDefault="00327BE1" w:rsidP="00C32CE6">
            <w:pPr>
              <w:pStyle w:val="NormalWeb"/>
              <w:numPr>
                <w:ilvl w:val="0"/>
                <w:numId w:val="21"/>
              </w:numPr>
              <w:tabs>
                <w:tab w:val="left" w:pos="315"/>
              </w:tabs>
              <w:spacing w:after="0" w:afterAutospacing="0"/>
              <w:ind w:left="312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</w:rPr>
            </w:pPr>
            <w:r w:rsidRPr="00327BE1">
              <w:rPr>
                <w:rFonts w:ascii="Calibri" w:hAnsi="Calibri" w:cs="Calibri"/>
                <w:color w:val="000000"/>
                <w:sz w:val="22"/>
              </w:rPr>
              <w:t>fyzické osoby podnikající</w:t>
            </w:r>
          </w:p>
          <w:p w14:paraId="4DA2C124" w14:textId="77777777" w:rsidR="008D6192" w:rsidRPr="004D1CFC" w:rsidRDefault="008D6192" w:rsidP="008D6192">
            <w:pPr>
              <w:pStyle w:val="NormalWeb"/>
              <w:spacing w:before="0" w:beforeAutospacing="0" w:after="0" w:afterAutospacing="0"/>
              <w:ind w:left="7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48DAEAE0" w14:textId="7C233CC6" w:rsidR="008D6192" w:rsidRPr="004D1CFC" w:rsidRDefault="008D6192" w:rsidP="008D6192">
            <w:pPr>
              <w:pStyle w:val="OM-nadpis4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4D1CFC">
              <w:rPr>
                <w:rFonts w:ascii="Calibri" w:hAnsi="Calibri" w:cs="Calibri"/>
                <w:sz w:val="22"/>
                <w:szCs w:val="22"/>
              </w:rPr>
              <w:t>Partnerství v projektu (finanční i nefinanční)</w:t>
            </w:r>
          </w:p>
          <w:p w14:paraId="7AAE3B61" w14:textId="0D2AE66C" w:rsidR="00A96778" w:rsidRPr="00C32CE6" w:rsidRDefault="00327BE1" w:rsidP="00C32CE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Arial" w:hAnsi="Calibri" w:cs="Calibri"/>
                <w:color w:val="000000"/>
                <w:sz w:val="22"/>
                <w:szCs w:val="22"/>
                <w:vertAlign w:val="superscript"/>
              </w:rPr>
            </w:pPr>
            <w:r w:rsidRPr="00327BE1">
              <w:rPr>
                <w:rFonts w:ascii="Calibri" w:hAnsi="Calibri" w:cs="Calibri"/>
                <w:color w:val="000000"/>
                <w:sz w:val="22"/>
                <w:szCs w:val="22"/>
              </w:rPr>
              <w:t>Projekty je možné realizovat ve spolupráci s partnery</w:t>
            </w:r>
            <w:r w:rsidR="008D6192" w:rsidRPr="004D1C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C65A18" w14:paraId="4D1EA260" w14:textId="77777777" w:rsidTr="00114CE7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3150148" w14:textId="77777777" w:rsidR="00C65A18" w:rsidRDefault="00F71707" w:rsidP="00F71707">
            <w:r>
              <w:t>Období realizace projektu (od – do)</w:t>
            </w:r>
          </w:p>
        </w:tc>
        <w:tc>
          <w:tcPr>
            <w:tcW w:w="7087" w:type="dxa"/>
          </w:tcPr>
          <w:p w14:paraId="07980F23" w14:textId="07A51BD3" w:rsidR="00C65A18" w:rsidRDefault="004D1CFC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</w:t>
            </w:r>
            <w:r w:rsidR="009465E1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2029</w:t>
            </w:r>
          </w:p>
          <w:p w14:paraId="1D61D46A" w14:textId="28F9AEA7" w:rsidR="009465E1" w:rsidRPr="00D61949" w:rsidRDefault="009465E1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Maximální délka projektu 5 let</w:t>
            </w:r>
          </w:p>
        </w:tc>
      </w:tr>
      <w:tr w:rsidR="004D658A" w14:paraId="55BE3FBE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481BBC" w14:textId="77777777" w:rsidR="004D658A" w:rsidRDefault="00C65A18" w:rsidP="00F71707">
            <w:r>
              <w:t xml:space="preserve">Celkové způsobilé výdaje na </w:t>
            </w:r>
            <w:r w:rsidR="004D658A">
              <w:t>projekt</w:t>
            </w:r>
            <w:r>
              <w:t>:</w:t>
            </w:r>
          </w:p>
        </w:tc>
        <w:tc>
          <w:tcPr>
            <w:tcW w:w="7087" w:type="dxa"/>
          </w:tcPr>
          <w:p w14:paraId="5FE014AB" w14:textId="77777777" w:rsidR="008D6192" w:rsidRPr="004D1CFC" w:rsidRDefault="008D6192" w:rsidP="008D619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1CF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 projektů zakládajících veřejnou podporu bude podpora poskytována v režimu de minimis</w:t>
            </w:r>
          </w:p>
          <w:p w14:paraId="3285BBB7" w14:textId="77777777" w:rsidR="008D6192" w:rsidRPr="004D1CFC" w:rsidRDefault="008D6192" w:rsidP="008D619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1CFC">
              <w:rPr>
                <w:rFonts w:ascii="Calibri" w:hAnsi="Calibri" w:cs="Calibri"/>
                <w:color w:val="000000"/>
                <w:sz w:val="22"/>
                <w:szCs w:val="22"/>
              </w:rPr>
              <w:t>U projektů nezakládajících veřejnou podporu:</w:t>
            </w:r>
          </w:p>
          <w:p w14:paraId="4F7F32EC" w14:textId="77777777" w:rsidR="008D6192" w:rsidRPr="004D1CFC" w:rsidRDefault="008D6192" w:rsidP="008D619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1C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Minimální výše podpory nesmí být nižší než </w:t>
            </w:r>
            <w:r w:rsidRPr="004D1C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500 000 Kč.</w:t>
            </w:r>
          </w:p>
          <w:p w14:paraId="15F43C69" w14:textId="36C43850" w:rsidR="004D658A" w:rsidRPr="00327BE1" w:rsidRDefault="008D6192" w:rsidP="00327BE1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1C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výše podpory nesmí přesáhnout </w:t>
            </w:r>
            <w:r w:rsidRPr="004D1C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7 500 000 Kč</w:t>
            </w:r>
            <w:r w:rsidR="002B1772" w:rsidRPr="00780113">
              <w:rPr>
                <w:rFonts w:ascii="Calibri" w:hAnsi="Calibri" w:cs="Calibri"/>
                <w:color w:val="000000"/>
                <w:sz w:val="22"/>
                <w:szCs w:val="22"/>
              </w:rPr>
              <w:t>, resp. objemu prostředků, který odpovídá výši de minimis v aktuálním směnném kurzu</w:t>
            </w:r>
            <w:r w:rsidRPr="002B177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4D1C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4D658A" w14:paraId="6EEAD8DB" w14:textId="77777777" w:rsidTr="00114CE7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EA02D51" w14:textId="77777777" w:rsidR="004D658A" w:rsidRDefault="00C65A18" w:rsidP="00F71707">
            <w:r>
              <w:t>Míra podpory (%):</w:t>
            </w:r>
          </w:p>
        </w:tc>
        <w:tc>
          <w:tcPr>
            <w:tcW w:w="7087" w:type="dxa"/>
          </w:tcPr>
          <w:p w14:paraId="61F77FB3" w14:textId="074E11FF" w:rsidR="004D658A" w:rsidRPr="00F70217" w:rsidRDefault="00CD00AF" w:rsidP="00327BE1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(dle konkrétního charakteru příjemce za aplikace relevantních pravidel veřejné podpory – bude předmětem dalšího vyjednávání)</w:t>
            </w:r>
            <w:r w:rsidR="008D6192" w:rsidRPr="00F7021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4D658A" w14:paraId="56FE073D" w14:textId="77777777" w:rsidTr="007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28E39CD" w14:textId="77777777" w:rsidR="004D658A" w:rsidRPr="00780113" w:rsidRDefault="00F71707" w:rsidP="00F71707">
            <w:pPr>
              <w:rPr>
                <w:iCs/>
                <w:color w:val="auto"/>
              </w:rPr>
            </w:pPr>
            <w:r w:rsidRPr="00780113">
              <w:rPr>
                <w:iCs/>
              </w:rPr>
              <w:t>Podporované aktivity:</w:t>
            </w:r>
          </w:p>
        </w:tc>
        <w:tc>
          <w:tcPr>
            <w:tcW w:w="0" w:type="dxa"/>
          </w:tcPr>
          <w:p w14:paraId="61FB2383" w14:textId="64BB259F" w:rsidR="001D00CB" w:rsidRDefault="00185433" w:rsidP="00BE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Quattrocento Sans" w:cstheme="minorHAnsi"/>
                <w:color w:val="000000"/>
              </w:rPr>
            </w:pPr>
            <w:r w:rsidRPr="00780113">
              <w:rPr>
                <w:rFonts w:cstheme="minorHAnsi"/>
                <w:b/>
                <w:color w:val="000000"/>
              </w:rPr>
              <w:t>A</w:t>
            </w:r>
            <w:r w:rsidR="001D00CB" w:rsidRPr="00780113">
              <w:rPr>
                <w:rFonts w:cstheme="minorHAnsi"/>
                <w:b/>
                <w:color w:val="000000"/>
              </w:rPr>
              <w:t>ktivita 1 Příprava studií proveditelnosti</w:t>
            </w:r>
            <w:r w:rsidR="001D00CB" w:rsidRPr="00780113">
              <w:rPr>
                <w:rFonts w:cstheme="minorHAnsi"/>
                <w:color w:val="000000"/>
              </w:rPr>
              <w:t xml:space="preserve"> (včetně relevantních podkladů, např. analýz a studií, průzkumů, vícekriteriálních a ekonomických řešení apod.) bezprostředně souvisejících a nezbytných pro předprojektovou přípravu a realizaci projektů zaměřených na rozvoj vodíkového hospodářství, způsobilých primárně z OP ST.</w:t>
            </w:r>
            <w:r w:rsidR="002B1772" w:rsidRPr="00780113">
              <w:rPr>
                <w:rFonts w:cstheme="minorHAnsi"/>
                <w:color w:val="000000"/>
              </w:rPr>
              <w:t xml:space="preserve"> </w:t>
            </w:r>
            <w:r w:rsidR="002B1772" w:rsidRPr="00780113">
              <w:rPr>
                <w:rFonts w:eastAsia="Quattrocento Sans" w:cstheme="minorHAnsi"/>
                <w:color w:val="000000"/>
              </w:rPr>
              <w:t xml:space="preserve"> Předmětem studií mohou být rovněž ekonomické modely fungování vodíkových technologií, propočty investiční případně provozní podpory – v souladu se zněním Vodíkové strategie ČR.</w:t>
            </w:r>
          </w:p>
          <w:p w14:paraId="71F739DC" w14:textId="77777777" w:rsidR="002B1772" w:rsidRPr="00780113" w:rsidRDefault="002B1772" w:rsidP="00780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Quattrocento Sans" w:cstheme="minorHAnsi"/>
                <w:color w:val="000000"/>
              </w:rPr>
            </w:pPr>
          </w:p>
          <w:p w14:paraId="267E5134" w14:textId="63F6BF60" w:rsidR="001B47D5" w:rsidRPr="006B2A8B" w:rsidRDefault="00185433" w:rsidP="00780113">
            <w:pPr>
              <w:pStyle w:val="NormalWeb"/>
              <w:tabs>
                <w:tab w:val="left" w:pos="315"/>
              </w:tabs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</w:t>
            </w:r>
            <w:r w:rsidR="001D00CB" w:rsidRPr="00E6526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ktivita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 w:rsidR="001D00CB" w:rsidRPr="001D00C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Příprava projektové dokumentace</w:t>
            </w:r>
            <w:r w:rsidR="001D00CB" w:rsidRPr="001D00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bezprostředně související podkladové dokumentace pro projekty způsobilé v rámci rozvoje vodíkového hospodářství.</w:t>
            </w:r>
          </w:p>
        </w:tc>
      </w:tr>
      <w:tr w:rsidR="00DA3BEA" w14:paraId="1FE6D334" w14:textId="77777777" w:rsidTr="00500990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96B5" w14:textId="77777777" w:rsidR="00DA3BEA" w:rsidRDefault="00DA3BEA" w:rsidP="00DA3BEA">
            <w:r>
              <w:lastRenderedPageBreak/>
              <w:t>Způsobilé výdaje:</w:t>
            </w:r>
          </w:p>
        </w:tc>
        <w:tc>
          <w:tcPr>
            <w:tcW w:w="7087" w:type="dxa"/>
          </w:tcPr>
          <w:p w14:paraId="53FE449D" w14:textId="2DDD270E" w:rsidR="008D6192" w:rsidRPr="00C724A7" w:rsidRDefault="00185433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D6192" w:rsidRPr="00C724A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ktivita 1</w:t>
            </w:r>
          </w:p>
          <w:p w14:paraId="5C9B1207" w14:textId="77777777" w:rsidR="008D6192" w:rsidRPr="00C724A7" w:rsidRDefault="008D6192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 způsobilé jsou považovány výdaje na zpracování studie proveditelnosti a veškerých etap budoucího projektu, včetně:</w:t>
            </w:r>
          </w:p>
          <w:p w14:paraId="35D4351E" w14:textId="77777777" w:rsidR="001D00CB" w:rsidRPr="001D00CB" w:rsidRDefault="001D00CB" w:rsidP="001D00CB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8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00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variantní studie záměru a technického řešení, </w:t>
            </w:r>
          </w:p>
          <w:p w14:paraId="2906A281" w14:textId="77777777" w:rsidR="001D00CB" w:rsidRPr="001D00CB" w:rsidRDefault="001D00CB" w:rsidP="001D00CB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00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bezprostředně související ostatní podkladové studie a analýzy dle specifických požadavků projektu, </w:t>
            </w:r>
          </w:p>
          <w:p w14:paraId="3076818D" w14:textId="35085D19" w:rsidR="008D6192" w:rsidRPr="00D64763" w:rsidRDefault="001D00CB" w:rsidP="00D64763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D00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prověření klimatické odolnosti investic a významného nepoškozování životního prostředí.</w:t>
            </w:r>
          </w:p>
          <w:p w14:paraId="4D54D9EF" w14:textId="304C479B" w:rsidR="008D6192" w:rsidRPr="00C724A7" w:rsidRDefault="00185433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D6192" w:rsidRPr="00C724A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ktivita 2</w:t>
            </w:r>
          </w:p>
          <w:p w14:paraId="4B398C40" w14:textId="77777777" w:rsidR="008D6192" w:rsidRPr="00C724A7" w:rsidRDefault="008D6192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 způsobilé jsou považovány výdaje na navazující projektovou přípravu některé z dílčích etap budoucího projektu, včetně:</w:t>
            </w:r>
          </w:p>
          <w:p w14:paraId="7B4D0F39" w14:textId="77777777" w:rsidR="00D64763" w:rsidRPr="00D64763" w:rsidRDefault="00D64763" w:rsidP="00D64763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8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47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přípravy projektové dokumentace v rozsahu stanoveném vyhláškou č. 499/2006 Sb., o dokumentaci staveb,</w:t>
            </w:r>
          </w:p>
          <w:p w14:paraId="564DF90A" w14:textId="77777777" w:rsidR="00D64763" w:rsidRPr="00D64763" w:rsidRDefault="00D64763" w:rsidP="00D64763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47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zpracování zadávací dokumentace dle zákona č. 134/2016 Sb., o zadávání veřejných zakázek nebo Pokynů pro zadávání zakázek pro programy spolufinancované z rozpočtu SFŽP ČR (dále také „Pokyny SFŽP ČR“), vyjma případů uvedených v odst. 1.2.1 Pokynů SFŽP ČR a zabezpečení výběru dodavatele.</w:t>
            </w:r>
          </w:p>
          <w:p w14:paraId="75AA458D" w14:textId="5548B477" w:rsidR="008D6192" w:rsidRPr="00D64763" w:rsidRDefault="00D64763" w:rsidP="00D64763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47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dokumentace a posudky přímo související s umístěním vodíkové technologie a jejím budoucím provozováním ve vybrané lokalitě a technologie, které se přímo podílí na výrobě vodíkových technologií a technologií přímo souvisejících s výrobou, skladováním, přepravou a využitím vodíku</w:t>
            </w:r>
            <w:r w:rsidR="008D6192" w:rsidRPr="00D647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203B2517" w14:textId="284E166E" w:rsidR="008D6192" w:rsidRPr="00C724A7" w:rsidRDefault="008D6192" w:rsidP="00D64763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Mezi způsobilé výdaje je možné zařadit jen tyto kategorie výdajů dle kapitoly C.4.6</w:t>
            </w:r>
            <w:r w:rsid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„</w:t>
            </w:r>
            <w:r w:rsidR="00B9445A" w:rsidRP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Pravid</w:t>
            </w:r>
            <w:r w:rsid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="00B9445A" w:rsidRP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 pro žadatele a příjemce podpory</w:t>
            </w:r>
            <w:r w:rsid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B9445A" w:rsidRP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 Operačním programu Spravedlivá transformace</w:t>
            </w:r>
            <w:r w:rsid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B9445A" w:rsidRP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 období 2021–2027</w:t>
            </w:r>
            <w:r w:rsidR="00B944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“</w:t>
            </w: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05C80588" w14:textId="17A1AAFA" w:rsidR="008D6192" w:rsidRPr="00C724A7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C.4.6.7 Osobní náklady (až do výše 50 % celkových způsobilých nákladů</w:t>
            </w:r>
            <w:r w:rsidR="00CD00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v případě zajišťování přípravy dokumentace vlastními personálními kapacitami žadatele</w:t>
            </w: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14:paraId="6588E548" w14:textId="77777777" w:rsidR="008D6192" w:rsidRPr="00C724A7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C.4.6.9 Cestovní náhrady</w:t>
            </w:r>
          </w:p>
          <w:p w14:paraId="4FD0E1CF" w14:textId="77777777" w:rsidR="008D6192" w:rsidRPr="00C724A7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C.4.6.10 Nákup služeb</w:t>
            </w:r>
          </w:p>
          <w:p w14:paraId="1B739632" w14:textId="77777777" w:rsidR="008D6192" w:rsidRPr="00C724A7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0" w:afterAutospacing="0"/>
              <w:ind w:left="74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C.4.6.13 Vícepráce</w:t>
            </w:r>
          </w:p>
          <w:p w14:paraId="3C55C765" w14:textId="77777777" w:rsidR="008D6192" w:rsidRPr="00C724A7" w:rsidRDefault="008D6192" w:rsidP="008D6192">
            <w:pPr>
              <w:pStyle w:val="NormalWeb"/>
              <w:spacing w:before="0" w:beforeAutospacing="0" w:after="0" w:afterAutospacing="0"/>
              <w:ind w:left="14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1CF2F41" w14:textId="77777777" w:rsidR="008D6192" w:rsidRPr="00C724A7" w:rsidRDefault="008D6192" w:rsidP="008D6192">
            <w:pPr>
              <w:pStyle w:val="OM-nadpis4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sz w:val="22"/>
                <w:szCs w:val="22"/>
              </w:rPr>
              <w:t>Nepřímé výdaje</w:t>
            </w:r>
          </w:p>
          <w:p w14:paraId="7CECB4F3" w14:textId="2BC1202A" w:rsidR="003C5819" w:rsidRPr="00B9445A" w:rsidRDefault="008D6192" w:rsidP="00B9445A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Nepřímé výdaje jsou financované prostřednictvím </w:t>
            </w:r>
            <w:r w:rsidRPr="00C724A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paušálu ve výši</w:t>
            </w: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C724A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7 % </w:t>
            </w:r>
            <w:r w:rsidRPr="00C724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přímých výdajů. Náklady, které nelze zahrnout mezi přímé výdaje jsou uvedeny v příloze č. 3 těchto pravidel.</w:t>
            </w:r>
          </w:p>
        </w:tc>
      </w:tr>
      <w:tr w:rsidR="004D658A" w14:paraId="66B4ECB5" w14:textId="77777777" w:rsidTr="00500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412E5B" w14:textId="77777777" w:rsidR="004D658A" w:rsidRDefault="00F71707" w:rsidP="00F71707">
            <w:r>
              <w:t>Území realizace:</w:t>
            </w:r>
          </w:p>
        </w:tc>
        <w:tc>
          <w:tcPr>
            <w:tcW w:w="7087" w:type="dxa"/>
          </w:tcPr>
          <w:p w14:paraId="609C494D" w14:textId="2A06412E" w:rsidR="004D658A" w:rsidRPr="002C7DE4" w:rsidRDefault="002B1772" w:rsidP="00F7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Karlovarský </w:t>
            </w:r>
            <w:r w:rsidRPr="002C7DE4">
              <w:t xml:space="preserve"> </w:t>
            </w:r>
            <w:r w:rsidR="00114CE7" w:rsidRPr="002C7DE4">
              <w:t>kraj</w:t>
            </w:r>
            <w:r w:rsidR="00F71707" w:rsidRPr="002C7DE4">
              <w:t xml:space="preserve"> </w:t>
            </w:r>
          </w:p>
        </w:tc>
      </w:tr>
      <w:tr w:rsidR="00265880" w14:paraId="1951C99E" w14:textId="77777777" w:rsidTr="00114CE7">
        <w:trPr>
          <w:trHeight w:val="1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5E9BE82" w14:textId="77777777" w:rsidR="00265880" w:rsidRDefault="00265880" w:rsidP="00265880">
            <w:r>
              <w:t xml:space="preserve">Indikátor výstupu /výsledku: </w:t>
            </w:r>
          </w:p>
        </w:tc>
        <w:tc>
          <w:tcPr>
            <w:tcW w:w="7087" w:type="dxa"/>
          </w:tcPr>
          <w:p w14:paraId="7C889234" w14:textId="4357F069" w:rsidR="00FF0DB5" w:rsidRPr="002C7DE4" w:rsidRDefault="00FF0DB5" w:rsidP="00780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7DE4">
              <w:t>Indikátory</w:t>
            </w:r>
            <w:r w:rsidR="002B1772">
              <w:t xml:space="preserve"> </w:t>
            </w:r>
            <w:r w:rsidRPr="002C7DE4">
              <w:t>výstupu</w:t>
            </w:r>
          </w:p>
          <w:p w14:paraId="1E5DCFB3" w14:textId="77777777" w:rsidR="00FF0DB5" w:rsidRPr="002C7DE4" w:rsidRDefault="00FF0DB5" w:rsidP="00FF0DB5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7DE4">
              <w:t>podporované podniky (z toho: mikropodniky, malé, střední, velké podniky)</w:t>
            </w:r>
          </w:p>
          <w:p w14:paraId="6D451350" w14:textId="1FAEBA4C" w:rsidR="009A31B2" w:rsidRDefault="00FF0DB5" w:rsidP="009A31B2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7DE4">
              <w:t xml:space="preserve">podniky spolupracující s výzkumnými </w:t>
            </w:r>
            <w:r w:rsidR="002B1772">
              <w:t>organizacemi</w:t>
            </w:r>
          </w:p>
          <w:p w14:paraId="106EC53E" w14:textId="0D2DBA66" w:rsidR="00BE0BE7" w:rsidRPr="002C7DE4" w:rsidRDefault="00BE0BE7" w:rsidP="009A31B2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podniky se závazkem veřejné služby</w:t>
            </w:r>
          </w:p>
          <w:p w14:paraId="727BFACF" w14:textId="39907DAA" w:rsidR="009A31B2" w:rsidRPr="002C7DE4" w:rsidRDefault="00BE0BE7" w:rsidP="00780113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další aktéři vodíkového ekosystému</w:t>
            </w:r>
          </w:p>
        </w:tc>
      </w:tr>
      <w:tr w:rsidR="00F22A8C" w14:paraId="3260AD58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B073F5" w14:textId="77777777" w:rsidR="00F22A8C" w:rsidRDefault="00F22A8C" w:rsidP="00265880">
            <w:r>
              <w:t xml:space="preserve">Cílová hodnota indikátoru: </w:t>
            </w:r>
          </w:p>
        </w:tc>
        <w:tc>
          <w:tcPr>
            <w:tcW w:w="7087" w:type="dxa"/>
          </w:tcPr>
          <w:p w14:paraId="6F96AA6C" w14:textId="502A2DC0" w:rsidR="006B2A8B" w:rsidRDefault="006B2A8B" w:rsidP="00AA60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2A8B">
              <w:t>452011 – Počet projektů podpořených projektovou přípravou</w:t>
            </w:r>
          </w:p>
          <w:p w14:paraId="7334FED6" w14:textId="77777777" w:rsidR="006B2A8B" w:rsidRDefault="006B2A8B" w:rsidP="00AA60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95D7BBC" w14:textId="3A01D429" w:rsidR="003C5819" w:rsidRPr="002C7DE4" w:rsidRDefault="00500990" w:rsidP="00AA60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7DE4">
              <w:lastRenderedPageBreak/>
              <w:t>(</w:t>
            </w:r>
            <w:r w:rsidR="00AA6089" w:rsidRPr="002C7DE4">
              <w:t>Cílové hodnoty indikátorů budou navrženy v návaznosti na další konkretizaci podmínek tematických výzev OP ST jako takových za současné podmínky vyjasnění předpokládané alokace jednotlivých tematických výzev.</w:t>
            </w:r>
            <w:r w:rsidRPr="002C7DE4">
              <w:t>)</w:t>
            </w:r>
          </w:p>
        </w:tc>
      </w:tr>
      <w:tr w:rsidR="00DA3BEA" w14:paraId="1E11E99A" w14:textId="77777777" w:rsidTr="00780113">
        <w:trPr>
          <w:trHeight w:val="2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1E6DED6" w14:textId="77777777" w:rsidR="00DA3BEA" w:rsidRDefault="00DA3BEA" w:rsidP="00DA3BEA">
            <w:r>
              <w:lastRenderedPageBreak/>
              <w:t xml:space="preserve">Další specifikace / podmínky /omezení v rámci výzvy </w:t>
            </w:r>
          </w:p>
        </w:tc>
        <w:tc>
          <w:tcPr>
            <w:tcW w:w="0" w:type="dxa"/>
          </w:tcPr>
          <w:p w14:paraId="7CC9682E" w14:textId="77777777" w:rsidR="008D6192" w:rsidRPr="002C7DE4" w:rsidRDefault="008D6192" w:rsidP="008D6192">
            <w:pPr>
              <w:pStyle w:val="OM-nadpis4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7DE4">
              <w:rPr>
                <w:rFonts w:asciiTheme="minorHAnsi" w:hAnsiTheme="minorHAnsi" w:cstheme="minorHAnsi"/>
                <w:sz w:val="22"/>
                <w:szCs w:val="22"/>
              </w:rPr>
              <w:t>Specifická kritéria přijatelnosti</w:t>
            </w:r>
          </w:p>
          <w:p w14:paraId="55AEA1AC" w14:textId="77777777" w:rsidR="008D6192" w:rsidRPr="002C7DE4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120" w:afterAutospacing="0"/>
              <w:ind w:left="7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není podpořen z jiných dotačních programů na národní či evropské úrovni </w:t>
            </w:r>
          </w:p>
          <w:p w14:paraId="08F9E6E0" w14:textId="32A14663" w:rsidR="008D6192" w:rsidRPr="002C7DE4" w:rsidRDefault="00B42B1E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120" w:afterAutospacing="0"/>
              <w:ind w:left="7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Připravovaný p</w:t>
            </w:r>
            <w:r w:rsidR="008D6192"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rojekt je realizován </w:t>
            </w:r>
            <w:r w:rsid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</w:t>
            </w:r>
            <w:r w:rsidR="008D6192"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území </w:t>
            </w:r>
            <w:r w:rsidR="00BE0BE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Karlovarského</w:t>
            </w:r>
            <w:r w:rsidR="00BE0BE7"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8D6192"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kraje. </w:t>
            </w:r>
          </w:p>
          <w:p w14:paraId="761AD7A5" w14:textId="77777777" w:rsidR="008D6192" w:rsidRPr="002C7DE4" w:rsidRDefault="008D6192" w:rsidP="002C7DE4">
            <w:pPr>
              <w:pStyle w:val="NormalWeb"/>
              <w:numPr>
                <w:ilvl w:val="0"/>
                <w:numId w:val="21"/>
              </w:numPr>
              <w:tabs>
                <w:tab w:val="left" w:pos="457"/>
              </w:tabs>
              <w:spacing w:before="0" w:beforeAutospacing="0" w:after="120" w:afterAutospacing="0"/>
              <w:ind w:left="7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Vazba na regionální rozvojové strategické dokumenty, které ve svém rámci akcentují význam nově rozvíjených odvětví, primárně vodíkového hospodářství, s cílem podpořit další rozvoj regionálního hospodářství a růst životní úrovně – strategie rozvoje regionu, regionální strategie inteligentní specializace inovační politiky, regionální vodíková strategie apod.</w:t>
            </w:r>
          </w:p>
          <w:p w14:paraId="05B31C21" w14:textId="77777777" w:rsidR="008D6192" w:rsidRDefault="008D6192" w:rsidP="008D6192">
            <w:pPr>
              <w:pStyle w:val="OM-nadpis4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7DE4">
              <w:rPr>
                <w:rFonts w:asciiTheme="minorHAnsi" w:hAnsiTheme="minorHAnsi" w:cstheme="minorHAnsi"/>
                <w:sz w:val="22"/>
                <w:szCs w:val="22"/>
              </w:rPr>
              <w:t>Specifické podmínky udržitelnosti</w:t>
            </w:r>
          </w:p>
          <w:p w14:paraId="66B0595A" w14:textId="54E2F06E" w:rsidR="00BE0BE7" w:rsidRDefault="00BE0BE7" w:rsidP="00BE0BE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Aktivita 1: Pokud nedojde do šesti měsíců od ukončení projektu k zahájení další etapy realizace projektu v oblasti vodíkového hospodářství, bude žadatel povinen celý projekt, včetně plného znění studie proveditelnosti zveřejnit na webu krajské RSK, resp. subjektu pověřenému koordinací vodíkových aktivit v kraji a tomuto subjektu předat k dalšímu využití veškerou dokumentaci projektu včetně všech dat. Studie bude zveřejněna ve formátu otevřených dat. V případě nedodržení těchto podmínek bude požadováno 100% vrácení podpory.</w:t>
            </w:r>
          </w:p>
          <w:p w14:paraId="5147C5F8" w14:textId="77777777" w:rsidR="00BE0BE7" w:rsidRPr="00BE0BE7" w:rsidRDefault="00BE0BE7" w:rsidP="00780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F9CF0A" w14:textId="4B6295F8" w:rsidR="008D6192" w:rsidRDefault="00C32CE6" w:rsidP="00780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t xml:space="preserve">Aktivita </w:t>
            </w:r>
            <w:r w:rsidR="006B2A8B" w:rsidRPr="006B2A8B">
              <w:t xml:space="preserve">2: </w:t>
            </w:r>
            <w:r w:rsidR="00BE0BE7" w:rsidRPr="004068C7">
              <w:rPr>
                <w:rFonts w:cstheme="minorHAnsi"/>
                <w:color w:val="000000"/>
              </w:rPr>
              <w:t xml:space="preserve"> Po</w:t>
            </w:r>
            <w:r w:rsidR="00BE0BE7">
              <w:rPr>
                <w:rFonts w:cstheme="minorHAnsi"/>
                <w:color w:val="000000"/>
              </w:rPr>
              <w:t>dmínkou podpory je doložení zahájení realizace návazného investičního projektu do tří let od ukončení přípravného projektu podpořeného v rámci aktivity 2, resp. zahájení povolovacích řízení k investici do jednoho roku od ukončení přípravného projektu. Tyto dokumenty budou předloženy bez ohledu na to, zda bude investiční projekt podpořen z dotačního titulu nebo se bude jednat zcela o soukromou investici.  V případě nedoložení požadovaných náležitostí poskytovatel přistoupí k vyměření sankce  až do výše 50 % výše dotace, v odůvodněných případech požádá o 100% vrácení dotace.</w:t>
            </w:r>
          </w:p>
          <w:p w14:paraId="0A83AA07" w14:textId="77777777" w:rsidR="00780113" w:rsidRPr="00780113" w:rsidRDefault="00780113" w:rsidP="00780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5FFE6F20" w14:textId="781E8A08" w:rsidR="008D6192" w:rsidRPr="00780113" w:rsidRDefault="008D6192" w:rsidP="00780113">
            <w:pPr>
              <w:pStyle w:val="OM-nadpis4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7DE4">
              <w:rPr>
                <w:rFonts w:asciiTheme="minorHAnsi" w:hAnsiTheme="minorHAnsi" w:cstheme="minorHAnsi"/>
                <w:sz w:val="22"/>
                <w:szCs w:val="22"/>
              </w:rPr>
              <w:t>Specifické přílohy k žádosti o podporu</w:t>
            </w:r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EFA1490" w14:textId="66463267" w:rsidR="008D6192" w:rsidRPr="002C7DE4" w:rsidRDefault="00185433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D6192" w:rsidRPr="002C7DE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ktivita 1 +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D6192" w:rsidRPr="002C7DE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ktivita 2</w:t>
            </w:r>
          </w:p>
          <w:p w14:paraId="1AF3AE68" w14:textId="77777777" w:rsidR="008D6192" w:rsidRPr="002C7DE4" w:rsidRDefault="008D6192" w:rsidP="008D619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Žadatel předloží </w:t>
            </w:r>
            <w:proofErr w:type="spellStart"/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fiši</w:t>
            </w:r>
            <w:proofErr w:type="spellEnd"/>
            <w:r w:rsidRPr="002C7DE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záměru obsahující tuto škálu informací: </w:t>
            </w:r>
          </w:p>
          <w:p w14:paraId="11769A4F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Název záměru</w:t>
            </w:r>
          </w:p>
          <w:p w14:paraId="0E0A89F7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Nositel záměru</w:t>
            </w:r>
          </w:p>
          <w:p w14:paraId="455B8439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Popis záměru</w:t>
            </w:r>
          </w:p>
          <w:p w14:paraId="62EC6116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Aktuální připravenost projektu, případná rizika a bariéry</w:t>
            </w:r>
          </w:p>
          <w:p w14:paraId="215575CA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Odhadované náklady</w:t>
            </w:r>
          </w:p>
          <w:p w14:paraId="66949654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Předpokládaná % výše dotace</w:t>
            </w:r>
          </w:p>
          <w:p w14:paraId="6D580D73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 xml:space="preserve">Časový plán fyzické realizace </w:t>
            </w:r>
          </w:p>
          <w:p w14:paraId="6608D50F" w14:textId="77777777" w:rsidR="008D6192" w:rsidRPr="002C7DE4" w:rsidRDefault="008D6192" w:rsidP="008D6192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ocdata"/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Ostatní (zařazení do technologické mapy vodíku)</w:t>
            </w:r>
          </w:p>
          <w:p w14:paraId="671B517C" w14:textId="12173B38" w:rsidR="00AD6B15" w:rsidRPr="00C32CE6" w:rsidRDefault="008D6192" w:rsidP="00C32CE6">
            <w:pPr>
              <w:pStyle w:val="ListParagraph"/>
              <w:numPr>
                <w:ilvl w:val="0"/>
                <w:numId w:val="20"/>
              </w:numPr>
              <w:spacing w:after="3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</w:rPr>
            </w:pPr>
            <w:r w:rsidRPr="002C7DE4">
              <w:rPr>
                <w:rStyle w:val="docdata"/>
                <w:rFonts w:cstheme="minorHAnsi"/>
                <w:bCs/>
                <w:color w:val="000000"/>
              </w:rPr>
              <w:t>Synergie – návaznost na další záměry</w:t>
            </w:r>
          </w:p>
        </w:tc>
      </w:tr>
    </w:tbl>
    <w:p w14:paraId="4F3B1C9F" w14:textId="77777777" w:rsidR="00930A56" w:rsidRDefault="00930A56"/>
    <w:sectPr w:rsidR="00930A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AD068" w14:textId="77777777" w:rsidR="00A472F8" w:rsidRDefault="00A472F8" w:rsidP="00486F4B">
      <w:pPr>
        <w:spacing w:after="0" w:line="240" w:lineRule="auto"/>
      </w:pPr>
      <w:r>
        <w:separator/>
      </w:r>
    </w:p>
  </w:endnote>
  <w:endnote w:type="continuationSeparator" w:id="0">
    <w:p w14:paraId="1E61668D" w14:textId="77777777" w:rsidR="00A472F8" w:rsidRDefault="00A472F8" w:rsidP="0048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Quattrocento Sans">
    <w:panose1 w:val="020B0604020202020204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487657"/>
      <w:docPartObj>
        <w:docPartGallery w:val="Page Numbers (Bottom of Page)"/>
        <w:docPartUnique/>
      </w:docPartObj>
    </w:sdtPr>
    <w:sdtContent>
      <w:p w14:paraId="143241D4" w14:textId="335E7661" w:rsidR="00FB28C2" w:rsidRDefault="00FB28C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63B">
          <w:rPr>
            <w:noProof/>
          </w:rPr>
          <w:t>4</w:t>
        </w:r>
        <w:r>
          <w:fldChar w:fldCharType="end"/>
        </w:r>
      </w:p>
    </w:sdtContent>
  </w:sdt>
  <w:p w14:paraId="7804243E" w14:textId="77777777" w:rsidR="00FB28C2" w:rsidRDefault="00FB2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7E07" w14:textId="77777777" w:rsidR="00A472F8" w:rsidRDefault="00A472F8" w:rsidP="00486F4B">
      <w:pPr>
        <w:spacing w:after="0" w:line="240" w:lineRule="auto"/>
      </w:pPr>
      <w:r>
        <w:separator/>
      </w:r>
    </w:p>
  </w:footnote>
  <w:footnote w:type="continuationSeparator" w:id="0">
    <w:p w14:paraId="6750B8E0" w14:textId="77777777" w:rsidR="00A472F8" w:rsidRDefault="00A472F8" w:rsidP="0048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C1DB" w14:textId="4F0C09B0" w:rsidR="007C517F" w:rsidRDefault="007C517F">
    <w:pPr>
      <w:pStyle w:val="Header"/>
    </w:pPr>
    <w:r>
      <w:t xml:space="preserve">Tematická výzva pro Operační program Spravedlivá transformace – </w:t>
    </w:r>
    <w:r w:rsidR="00C27B98">
      <w:t xml:space="preserve">Karlovarský </w:t>
    </w:r>
    <w:r>
      <w:t>kraj</w:t>
    </w:r>
  </w:p>
  <w:p w14:paraId="359DBB70" w14:textId="77777777" w:rsidR="007C517F" w:rsidRDefault="007C517F">
    <w:pPr>
      <w:pStyle w:val="Header"/>
    </w:pPr>
  </w:p>
  <w:p w14:paraId="7F2C7919" w14:textId="77777777" w:rsidR="007C517F" w:rsidRDefault="007C5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E8C"/>
    <w:multiLevelType w:val="hybridMultilevel"/>
    <w:tmpl w:val="49D865A4"/>
    <w:lvl w:ilvl="0" w:tplc="AE0ED6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0C20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44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0604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EEF4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E4D8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41C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0AAA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7A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329ED"/>
    <w:multiLevelType w:val="hybridMultilevel"/>
    <w:tmpl w:val="42D6893C"/>
    <w:lvl w:ilvl="0" w:tplc="325A2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E05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0D9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F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2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5A8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60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43C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23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D0B9C"/>
    <w:multiLevelType w:val="hybridMultilevel"/>
    <w:tmpl w:val="7312D7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30AE"/>
    <w:multiLevelType w:val="multilevel"/>
    <w:tmpl w:val="65B4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74A33"/>
    <w:multiLevelType w:val="hybridMultilevel"/>
    <w:tmpl w:val="BCB60372"/>
    <w:lvl w:ilvl="0" w:tplc="011C00C4">
      <w:start w:val="20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30A53"/>
    <w:multiLevelType w:val="hybridMultilevel"/>
    <w:tmpl w:val="8410FEA6"/>
    <w:lvl w:ilvl="0" w:tplc="EB746B4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21AAE0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3762FA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4C634E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BB0BED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4FB2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530A2C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E7E0B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05652B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8C539C"/>
    <w:multiLevelType w:val="hybridMultilevel"/>
    <w:tmpl w:val="98846C0A"/>
    <w:lvl w:ilvl="0" w:tplc="040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0EAE504F"/>
    <w:multiLevelType w:val="hybridMultilevel"/>
    <w:tmpl w:val="514AF4EC"/>
    <w:lvl w:ilvl="0" w:tplc="AEDCE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6869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08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54A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0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8B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4ED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C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BC6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A81"/>
    <w:multiLevelType w:val="hybridMultilevel"/>
    <w:tmpl w:val="48F40FB6"/>
    <w:lvl w:ilvl="0" w:tplc="D4E62D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E4483"/>
    <w:multiLevelType w:val="hybridMultilevel"/>
    <w:tmpl w:val="2116CB3A"/>
    <w:lvl w:ilvl="0" w:tplc="0B8C4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A97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7C2E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5CFD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9C68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AE48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0A3F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360F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3269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A80F93"/>
    <w:multiLevelType w:val="hybridMultilevel"/>
    <w:tmpl w:val="3DA677AA"/>
    <w:lvl w:ilvl="0" w:tplc="28F6C7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C0E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3CA6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4EC9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E42A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5469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60C0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B2C9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EAE2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E3426B"/>
    <w:multiLevelType w:val="hybridMultilevel"/>
    <w:tmpl w:val="42D41974"/>
    <w:lvl w:ilvl="0" w:tplc="F4FE423C">
      <w:numFmt w:val="bullet"/>
      <w:lvlText w:val="•"/>
      <w:lvlJc w:val="left"/>
      <w:pPr>
        <w:ind w:left="391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2" w15:restartNumberingAfterBreak="0">
    <w:nsid w:val="18540C1B"/>
    <w:multiLevelType w:val="hybridMultilevel"/>
    <w:tmpl w:val="C69A8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2436"/>
    <w:multiLevelType w:val="multilevel"/>
    <w:tmpl w:val="E2686926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OM-nadpis2"/>
      <w:lvlText w:val="D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D.%2.%3"/>
      <w:lvlJc w:val="left"/>
      <w:pPr>
        <w:ind w:left="737" w:hanging="737"/>
      </w:pPr>
      <w:rPr>
        <w:rFonts w:hint="default"/>
        <w:b/>
        <w:bCs/>
        <w:sz w:val="24"/>
        <w:highlight w:val="none"/>
      </w:rPr>
    </w:lvl>
    <w:lvl w:ilvl="3">
      <w:start w:val="1"/>
      <w:numFmt w:val="decimal"/>
      <w:pStyle w:val="OM-nadpis4"/>
      <w:lvlText w:val="D.%2.%3.%4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2"/>
        <w:highlight w:val="none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1292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D5B30BB"/>
    <w:multiLevelType w:val="hybridMultilevel"/>
    <w:tmpl w:val="86FE5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F26EC"/>
    <w:multiLevelType w:val="hybridMultilevel"/>
    <w:tmpl w:val="892AA6A2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D0F"/>
    <w:multiLevelType w:val="hybridMultilevel"/>
    <w:tmpl w:val="D640DF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2752EB"/>
    <w:multiLevelType w:val="hybridMultilevel"/>
    <w:tmpl w:val="80E42594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C4195"/>
    <w:multiLevelType w:val="hybridMultilevel"/>
    <w:tmpl w:val="4F8C06C2"/>
    <w:lvl w:ilvl="0" w:tplc="D1228D1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37840"/>
    <w:multiLevelType w:val="hybridMultilevel"/>
    <w:tmpl w:val="DD162F14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 w15:restartNumberingAfterBreak="0">
    <w:nsid w:val="495D468D"/>
    <w:multiLevelType w:val="hybridMultilevel"/>
    <w:tmpl w:val="BED6D0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983AD2"/>
    <w:multiLevelType w:val="hybridMultilevel"/>
    <w:tmpl w:val="B15A3C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6F47E73"/>
    <w:multiLevelType w:val="hybridMultilevel"/>
    <w:tmpl w:val="C300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62EB9"/>
    <w:multiLevelType w:val="hybridMultilevel"/>
    <w:tmpl w:val="8662DC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AA0EDF"/>
    <w:multiLevelType w:val="multilevel"/>
    <w:tmpl w:val="85DA624C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num w:numId="1" w16cid:durableId="1167864201">
    <w:abstractNumId w:val="2"/>
  </w:num>
  <w:num w:numId="2" w16cid:durableId="1598170594">
    <w:abstractNumId w:val="12"/>
  </w:num>
  <w:num w:numId="3" w16cid:durableId="777482138">
    <w:abstractNumId w:val="15"/>
  </w:num>
  <w:num w:numId="4" w16cid:durableId="1449737611">
    <w:abstractNumId w:val="17"/>
  </w:num>
  <w:num w:numId="5" w16cid:durableId="1994020848">
    <w:abstractNumId w:val="8"/>
  </w:num>
  <w:num w:numId="6" w16cid:durableId="1148747545">
    <w:abstractNumId w:val="21"/>
  </w:num>
  <w:num w:numId="7" w16cid:durableId="123239822">
    <w:abstractNumId w:val="4"/>
  </w:num>
  <w:num w:numId="8" w16cid:durableId="398721666">
    <w:abstractNumId w:val="18"/>
  </w:num>
  <w:num w:numId="9" w16cid:durableId="137571020">
    <w:abstractNumId w:val="5"/>
  </w:num>
  <w:num w:numId="10" w16cid:durableId="693069045">
    <w:abstractNumId w:val="22"/>
  </w:num>
  <w:num w:numId="11" w16cid:durableId="2059429893">
    <w:abstractNumId w:val="13"/>
  </w:num>
  <w:num w:numId="12" w16cid:durableId="2012826414">
    <w:abstractNumId w:val="20"/>
  </w:num>
  <w:num w:numId="13" w16cid:durableId="68312628">
    <w:abstractNumId w:val="9"/>
  </w:num>
  <w:num w:numId="14" w16cid:durableId="1644576086">
    <w:abstractNumId w:val="10"/>
  </w:num>
  <w:num w:numId="15" w16cid:durableId="780536652">
    <w:abstractNumId w:val="16"/>
  </w:num>
  <w:num w:numId="16" w16cid:durableId="1327779096">
    <w:abstractNumId w:val="19"/>
  </w:num>
  <w:num w:numId="17" w16cid:durableId="1796410480">
    <w:abstractNumId w:val="0"/>
  </w:num>
  <w:num w:numId="18" w16cid:durableId="725371238">
    <w:abstractNumId w:val="1"/>
  </w:num>
  <w:num w:numId="19" w16cid:durableId="1992908996">
    <w:abstractNumId w:val="7"/>
  </w:num>
  <w:num w:numId="20" w16cid:durableId="674723117">
    <w:abstractNumId w:val="23"/>
  </w:num>
  <w:num w:numId="21" w16cid:durableId="477186854">
    <w:abstractNumId w:val="6"/>
  </w:num>
  <w:num w:numId="22" w16cid:durableId="1634024274">
    <w:abstractNumId w:val="11"/>
  </w:num>
  <w:num w:numId="23" w16cid:durableId="524944454">
    <w:abstractNumId w:val="3"/>
  </w:num>
  <w:num w:numId="24" w16cid:durableId="1547794400">
    <w:abstractNumId w:val="14"/>
  </w:num>
  <w:num w:numId="25" w16cid:durableId="174872560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3FB"/>
    <w:rsid w:val="00003061"/>
    <w:rsid w:val="000A323F"/>
    <w:rsid w:val="000D26AD"/>
    <w:rsid w:val="00114CE3"/>
    <w:rsid w:val="00114CE7"/>
    <w:rsid w:val="0015304D"/>
    <w:rsid w:val="00185433"/>
    <w:rsid w:val="001927EA"/>
    <w:rsid w:val="00196C8D"/>
    <w:rsid w:val="001B47D5"/>
    <w:rsid w:val="001B4A26"/>
    <w:rsid w:val="001D00CB"/>
    <w:rsid w:val="001E3540"/>
    <w:rsid w:val="0021731A"/>
    <w:rsid w:val="00243EBD"/>
    <w:rsid w:val="002635A6"/>
    <w:rsid w:val="00265880"/>
    <w:rsid w:val="002954FA"/>
    <w:rsid w:val="002B1772"/>
    <w:rsid w:val="002B20CD"/>
    <w:rsid w:val="002C1D90"/>
    <w:rsid w:val="002C7DE4"/>
    <w:rsid w:val="00324F53"/>
    <w:rsid w:val="00327BE1"/>
    <w:rsid w:val="003C5819"/>
    <w:rsid w:val="00411112"/>
    <w:rsid w:val="0041293E"/>
    <w:rsid w:val="00417860"/>
    <w:rsid w:val="00474F4D"/>
    <w:rsid w:val="00486F4B"/>
    <w:rsid w:val="00497262"/>
    <w:rsid w:val="004D1CFC"/>
    <w:rsid w:val="004D658A"/>
    <w:rsid w:val="00500990"/>
    <w:rsid w:val="00584EC8"/>
    <w:rsid w:val="005B179D"/>
    <w:rsid w:val="005D0DFC"/>
    <w:rsid w:val="005F12C7"/>
    <w:rsid w:val="00603A65"/>
    <w:rsid w:val="00635845"/>
    <w:rsid w:val="00656339"/>
    <w:rsid w:val="006B2A8B"/>
    <w:rsid w:val="006B697E"/>
    <w:rsid w:val="007067B2"/>
    <w:rsid w:val="007611ED"/>
    <w:rsid w:val="00780113"/>
    <w:rsid w:val="00797263"/>
    <w:rsid w:val="007A3257"/>
    <w:rsid w:val="007A7105"/>
    <w:rsid w:val="007B10D1"/>
    <w:rsid w:val="007C517F"/>
    <w:rsid w:val="007D2ADC"/>
    <w:rsid w:val="007D4446"/>
    <w:rsid w:val="00821D53"/>
    <w:rsid w:val="00881411"/>
    <w:rsid w:val="00894D5E"/>
    <w:rsid w:val="008B15E9"/>
    <w:rsid w:val="008B5B17"/>
    <w:rsid w:val="008D6192"/>
    <w:rsid w:val="008F42A0"/>
    <w:rsid w:val="009046E9"/>
    <w:rsid w:val="00930A56"/>
    <w:rsid w:val="009465E1"/>
    <w:rsid w:val="0098599F"/>
    <w:rsid w:val="009875F3"/>
    <w:rsid w:val="009A180F"/>
    <w:rsid w:val="009A31B2"/>
    <w:rsid w:val="00A06F35"/>
    <w:rsid w:val="00A26386"/>
    <w:rsid w:val="00A472F8"/>
    <w:rsid w:val="00A96778"/>
    <w:rsid w:val="00AA6089"/>
    <w:rsid w:val="00AD6B15"/>
    <w:rsid w:val="00AF6B67"/>
    <w:rsid w:val="00B050E5"/>
    <w:rsid w:val="00B42B1E"/>
    <w:rsid w:val="00B9445A"/>
    <w:rsid w:val="00BA2360"/>
    <w:rsid w:val="00BE0BE7"/>
    <w:rsid w:val="00C02E5A"/>
    <w:rsid w:val="00C1263B"/>
    <w:rsid w:val="00C20732"/>
    <w:rsid w:val="00C27B98"/>
    <w:rsid w:val="00C32CE6"/>
    <w:rsid w:val="00C42F63"/>
    <w:rsid w:val="00C65A18"/>
    <w:rsid w:val="00C724A7"/>
    <w:rsid w:val="00CD00AF"/>
    <w:rsid w:val="00CD07A4"/>
    <w:rsid w:val="00CD0E44"/>
    <w:rsid w:val="00CE0FE0"/>
    <w:rsid w:val="00D00732"/>
    <w:rsid w:val="00D22581"/>
    <w:rsid w:val="00D61949"/>
    <w:rsid w:val="00D64763"/>
    <w:rsid w:val="00D703FB"/>
    <w:rsid w:val="00D735D4"/>
    <w:rsid w:val="00D77081"/>
    <w:rsid w:val="00D965CB"/>
    <w:rsid w:val="00DA3BEA"/>
    <w:rsid w:val="00DD49E3"/>
    <w:rsid w:val="00E21B70"/>
    <w:rsid w:val="00E47E51"/>
    <w:rsid w:val="00E57A01"/>
    <w:rsid w:val="00E65261"/>
    <w:rsid w:val="00E83707"/>
    <w:rsid w:val="00EA1BD3"/>
    <w:rsid w:val="00EC65CE"/>
    <w:rsid w:val="00ED7E49"/>
    <w:rsid w:val="00F22A8C"/>
    <w:rsid w:val="00F70217"/>
    <w:rsid w:val="00F71707"/>
    <w:rsid w:val="00F9494F"/>
    <w:rsid w:val="00FB28C2"/>
    <w:rsid w:val="00FF0DB5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D2FD5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6192"/>
    <w:pPr>
      <w:keepNext/>
      <w:keepLines/>
      <w:spacing w:before="360" w:after="200" w:line="264" w:lineRule="auto"/>
      <w:outlineLvl w:val="1"/>
    </w:pPr>
    <w:rPr>
      <w:rFonts w:ascii="Arial" w:eastAsia="Arial" w:hAnsi="Arial" w:cs="Arial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4D658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F4B"/>
  </w:style>
  <w:style w:type="paragraph" w:styleId="Footer">
    <w:name w:val="footer"/>
    <w:basedOn w:val="Normal"/>
    <w:link w:val="Footer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4B"/>
  </w:style>
  <w:style w:type="paragraph" w:styleId="ListParagraph">
    <w:name w:val="List Paragraph"/>
    <w:basedOn w:val="Normal"/>
    <w:link w:val="ListParagraphChar"/>
    <w:uiPriority w:val="34"/>
    <w:qFormat/>
    <w:rsid w:val="00114CE7"/>
    <w:pPr>
      <w:ind w:left="720"/>
      <w:contextualSpacing/>
    </w:pPr>
  </w:style>
  <w:style w:type="paragraph" w:customStyle="1" w:styleId="Default">
    <w:name w:val="Default"/>
    <w:rsid w:val="00A967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44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A71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A71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A71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10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qFormat/>
    <w:rsid w:val="00D61949"/>
    <w:pPr>
      <w:spacing w:after="0" w:line="312" w:lineRule="auto"/>
      <w:jc w:val="both"/>
    </w:pPr>
    <w:rPr>
      <w:rFonts w:ascii="Arial" w:eastAsia="Times New Roman" w:hAnsi="Arial" w:cs="Times New Roman"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61949"/>
    <w:rPr>
      <w:rFonts w:ascii="Arial" w:eastAsia="Times New Roman" w:hAnsi="Arial" w:cs="Times New Roman"/>
      <w:sz w:val="18"/>
    </w:rPr>
  </w:style>
  <w:style w:type="character" w:styleId="FootnoteReference">
    <w:name w:val="footnote reference"/>
    <w:uiPriority w:val="99"/>
    <w:rsid w:val="00D61949"/>
    <w:rPr>
      <w:rFonts w:cs="Times New Roman"/>
      <w:vertAlign w:val="superscript"/>
    </w:rPr>
  </w:style>
  <w:style w:type="character" w:customStyle="1" w:styleId="docdata">
    <w:name w:val="docdata"/>
    <w:aliases w:val="docy,v5,1276,bqiaagaaeyqcaaagiaiaaap+awaabqweaaaaaaaaaaaaaaaaaaaaaaaaaaaaaaaaaaaaaaaaaaaaaaaaaaaaaaaaaaaaaaaaaaaaaaaaaaaaaaaaaaaaaaaaaaaaaaaaaaaaaaaaaaaaaaaaaaaaaaaaaaaaaaaaaaaaaaaaaaaaaaaaaaaaaaaaaaaaaaaaaaaaaaaaaaaaaaaaaaaaaaaaaaaaaaaaaaaaaaaa"/>
    <w:basedOn w:val="DefaultParagraphFont"/>
    <w:rsid w:val="00D61949"/>
  </w:style>
  <w:style w:type="paragraph" w:styleId="NormalWeb">
    <w:name w:val="Normal (Web)"/>
    <w:basedOn w:val="Normal"/>
    <w:uiPriority w:val="99"/>
    <w:unhideWhenUsed/>
    <w:rsid w:val="00D6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M-nadpis1">
    <w:name w:val="OM - nadpis 1"/>
    <w:basedOn w:val="Normal"/>
    <w:next w:val="Normal"/>
    <w:uiPriority w:val="99"/>
    <w:qFormat/>
    <w:rsid w:val="008D6192"/>
    <w:pPr>
      <w:pageBreakBefore/>
      <w:numPr>
        <w:numId w:val="11"/>
      </w:numPr>
      <w:spacing w:before="360" w:after="360" w:line="240" w:lineRule="auto"/>
    </w:pPr>
    <w:rPr>
      <w:rFonts w:ascii="Segoe UI" w:eastAsia="Calibri" w:hAnsi="Segoe UI" w:cs="Arial"/>
      <w:b/>
      <w:bCs/>
      <w:color w:val="3E1F65"/>
      <w:sz w:val="32"/>
      <w:szCs w:val="28"/>
    </w:rPr>
  </w:style>
  <w:style w:type="paragraph" w:customStyle="1" w:styleId="OM-nadpis2">
    <w:name w:val="OM - nadpis 2"/>
    <w:basedOn w:val="Normal"/>
    <w:next w:val="Normal"/>
    <w:uiPriority w:val="99"/>
    <w:qFormat/>
    <w:rsid w:val="008D6192"/>
    <w:pPr>
      <w:numPr>
        <w:ilvl w:val="1"/>
        <w:numId w:val="11"/>
      </w:numPr>
      <w:spacing w:before="480" w:after="240" w:line="264" w:lineRule="auto"/>
      <w:jc w:val="both"/>
    </w:pPr>
    <w:rPr>
      <w:rFonts w:ascii="Segoe UI" w:eastAsia="Times New Roman" w:hAnsi="Segoe UI" w:cs="Arial"/>
      <w:b/>
      <w:bCs/>
      <w:color w:val="3E1F65"/>
      <w:sz w:val="24"/>
      <w:szCs w:val="24"/>
    </w:rPr>
  </w:style>
  <w:style w:type="paragraph" w:customStyle="1" w:styleId="OM-nadpis4">
    <w:name w:val="OM - nadpis 4"/>
    <w:basedOn w:val="Normal"/>
    <w:next w:val="Normal"/>
    <w:uiPriority w:val="99"/>
    <w:qFormat/>
    <w:rsid w:val="008D6192"/>
    <w:pPr>
      <w:keepNext/>
      <w:numPr>
        <w:ilvl w:val="3"/>
        <w:numId w:val="11"/>
      </w:numPr>
      <w:spacing w:after="120" w:line="240" w:lineRule="auto"/>
      <w:jc w:val="both"/>
      <w:outlineLvl w:val="3"/>
    </w:pPr>
    <w:rPr>
      <w:rFonts w:ascii="Segoe UI" w:eastAsia="Arial" w:hAnsi="Segoe UI" w:cs="Segoe UI"/>
      <w:b/>
      <w:bCs/>
      <w:sz w:val="20"/>
      <w:szCs w:val="20"/>
    </w:rPr>
  </w:style>
  <w:style w:type="paragraph" w:customStyle="1" w:styleId="OM-napdis3">
    <w:name w:val="OM - napdis 3"/>
    <w:basedOn w:val="Normal"/>
    <w:next w:val="Normal"/>
    <w:uiPriority w:val="99"/>
    <w:qFormat/>
    <w:rsid w:val="008D6192"/>
    <w:pPr>
      <w:numPr>
        <w:ilvl w:val="2"/>
        <w:numId w:val="11"/>
      </w:numPr>
      <w:spacing w:before="240" w:after="120" w:line="264" w:lineRule="auto"/>
      <w:jc w:val="both"/>
    </w:pPr>
    <w:rPr>
      <w:rFonts w:ascii="Segoe UI" w:eastAsia="Calibri" w:hAnsi="Segoe UI" w:cs="Segoe UI"/>
      <w:b/>
      <w:bCs/>
      <w:iCs/>
    </w:rPr>
  </w:style>
  <w:style w:type="paragraph" w:customStyle="1" w:styleId="OM-nadpis6">
    <w:name w:val="OM - nadpis 6"/>
    <w:basedOn w:val="Normal"/>
    <w:next w:val="Normal"/>
    <w:uiPriority w:val="99"/>
    <w:qFormat/>
    <w:rsid w:val="008D6192"/>
    <w:pPr>
      <w:numPr>
        <w:ilvl w:val="5"/>
        <w:numId w:val="11"/>
      </w:numPr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675">
    <w:name w:val="1675"/>
    <w:basedOn w:val="Normal"/>
    <w:rsid w:val="008D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8D6192"/>
    <w:rPr>
      <w:rFonts w:ascii="Arial" w:eastAsia="Arial" w:hAnsi="Arial" w:cs="Arial"/>
      <w:sz w:val="34"/>
    </w:rPr>
  </w:style>
  <w:style w:type="character" w:customStyle="1" w:styleId="ListParagraphChar">
    <w:name w:val="List Paragraph Char"/>
    <w:link w:val="ListParagraph"/>
    <w:uiPriority w:val="34"/>
    <w:qFormat/>
    <w:rsid w:val="008D6192"/>
  </w:style>
  <w:style w:type="paragraph" w:styleId="Revision">
    <w:name w:val="Revision"/>
    <w:hidden/>
    <w:uiPriority w:val="99"/>
    <w:semiHidden/>
    <w:rsid w:val="00B42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2023-10-04T05:31:00Z</dcterms:created>
  <dcterms:modified xsi:type="dcterms:W3CDTF">2023-10-04T05:31:00Z</dcterms:modified>
</cp:coreProperties>
</file>