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197" w:rsidRDefault="00042197">
      <w:pPr>
        <w:ind w:left="-567"/>
        <w:rPr>
          <w:b/>
          <w:sz w:val="48"/>
        </w:rPr>
      </w:pPr>
      <w:bookmarkStart w:id="0" w:name="_GoBack"/>
      <w:bookmarkEnd w:id="0"/>
    </w:p>
    <w:p w:rsidR="00042197" w:rsidRDefault="00DD4448">
      <w:pPr>
        <w:ind w:left="-850"/>
        <w:jc w:val="center"/>
        <w:rPr>
          <w:b/>
          <w:sz w:val="52"/>
        </w:rPr>
      </w:pPr>
      <w:r>
        <w:rPr>
          <w:b/>
          <w:sz w:val="52"/>
        </w:rPr>
        <w:t>Úvěr Transformace – čerpání Karlovarský kraj</w:t>
      </w:r>
    </w:p>
    <w:p w:rsidR="00042197" w:rsidRDefault="00DD4448">
      <w:pPr>
        <w:ind w:left="-567"/>
        <w:jc w:val="center"/>
        <w:rPr>
          <w:sz w:val="28"/>
        </w:rPr>
      </w:pPr>
      <w:r>
        <w:rPr>
          <w:sz w:val="28"/>
        </w:rPr>
        <w:t>Podkladový materiál</w:t>
      </w:r>
    </w:p>
    <w:p w:rsidR="00042197" w:rsidRDefault="00DD4448">
      <w:pPr>
        <w:ind w:left="-283" w:hanging="283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Předpoklad čerpání</w:t>
      </w:r>
    </w:p>
    <w:p w:rsidR="00042197" w:rsidRDefault="00DD4448">
      <w:pPr>
        <w:ind w:left="-283"/>
        <w:rPr>
          <w:sz w:val="24"/>
        </w:rPr>
      </w:pPr>
      <w:r>
        <w:rPr>
          <w:sz w:val="24"/>
        </w:rPr>
        <w:t xml:space="preserve">Dle údajů NRB eviduje v současné době pobočka Plzeň, která má v gesci Karlovarský kraj, v řešení 15 projektových žádostí </w:t>
      </w:r>
      <w:r>
        <w:rPr>
          <w:sz w:val="24"/>
        </w:rPr>
        <w:t xml:space="preserve">v celkovém objemu úvěrů 260 mil. Kč (viz tabulka 1 níže). Přesto, že prozatím žádná z podaných žádostí nebyla schválena, </w:t>
      </w:r>
      <w:r>
        <w:rPr>
          <w:b/>
          <w:sz w:val="24"/>
        </w:rPr>
        <w:t>na základě stavu projednávání těchto žádostí považuje NRB čerpání v objemu 260 mil. Kč za reálné</w:t>
      </w:r>
      <w:r>
        <w:rPr>
          <w:sz w:val="24"/>
        </w:rPr>
        <w:t xml:space="preserve">. </w:t>
      </w:r>
    </w:p>
    <w:p w:rsidR="00042197" w:rsidRDefault="00DD4448">
      <w:pPr>
        <w:ind w:left="-283"/>
        <w:rPr>
          <w:sz w:val="24"/>
        </w:rPr>
      </w:pPr>
      <w:r>
        <w:rPr>
          <w:i/>
          <w:sz w:val="24"/>
        </w:rPr>
        <w:t>Tabulka 1: Shrnutí stavu čerpání, úv</w:t>
      </w:r>
      <w:r>
        <w:rPr>
          <w:i/>
          <w:sz w:val="24"/>
        </w:rPr>
        <w:t>ěr Transformace - Karlovarský kraj (zdroj: NRB, stav k 5.10. 2023)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543"/>
        <w:gridCol w:w="2835"/>
      </w:tblGrid>
      <w:tr w:rsidR="00042197">
        <w:tc>
          <w:tcPr>
            <w:tcW w:w="3543" w:type="dxa"/>
          </w:tcPr>
          <w:p w:rsidR="00042197" w:rsidRDefault="00DD44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Celkový předpokládaný objem čerpání</w:t>
            </w:r>
          </w:p>
        </w:tc>
        <w:tc>
          <w:tcPr>
            <w:tcW w:w="2835" w:type="dxa"/>
          </w:tcPr>
          <w:p w:rsidR="00042197" w:rsidRDefault="00DD44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260 mil. Kč</w:t>
            </w:r>
          </w:p>
        </w:tc>
      </w:tr>
      <w:tr w:rsidR="00042197">
        <w:trPr>
          <w:trHeight w:val="253"/>
        </w:trPr>
        <w:tc>
          <w:tcPr>
            <w:tcW w:w="3543" w:type="dxa"/>
            <w:vMerge w:val="restart"/>
          </w:tcPr>
          <w:p w:rsidR="00042197" w:rsidRDefault="00DD4448">
            <w:r>
              <w:rPr>
                <w:b/>
                <w:sz w:val="24"/>
              </w:rPr>
              <w:t>Celkový počet žádostí v řešení</w:t>
            </w:r>
          </w:p>
        </w:tc>
        <w:tc>
          <w:tcPr>
            <w:tcW w:w="2835" w:type="dxa"/>
            <w:vMerge w:val="restart"/>
          </w:tcPr>
          <w:p w:rsidR="00042197" w:rsidRDefault="00DD4448">
            <w:r>
              <w:rPr>
                <w:b/>
                <w:sz w:val="24"/>
              </w:rPr>
              <w:t>15</w:t>
            </w:r>
          </w:p>
        </w:tc>
      </w:tr>
      <w:tr w:rsidR="00042197">
        <w:trPr>
          <w:trHeight w:val="276"/>
        </w:trPr>
        <w:tc>
          <w:tcPr>
            <w:tcW w:w="3543" w:type="dxa"/>
            <w:vMerge w:val="restart"/>
          </w:tcPr>
          <w:p w:rsidR="00042197" w:rsidRDefault="00DD4448">
            <w:pPr>
              <w:rPr>
                <w:sz w:val="24"/>
              </w:rPr>
            </w:pPr>
            <w:r>
              <w:rPr>
                <w:sz w:val="24"/>
              </w:rPr>
              <w:t>Počet žádostí - technologie</w:t>
            </w:r>
          </w:p>
        </w:tc>
        <w:tc>
          <w:tcPr>
            <w:tcW w:w="2835" w:type="dxa"/>
            <w:vMerge w:val="restart"/>
          </w:tcPr>
          <w:p w:rsidR="00042197" w:rsidRDefault="00DD4448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42197">
        <w:trPr>
          <w:trHeight w:val="276"/>
        </w:trPr>
        <w:tc>
          <w:tcPr>
            <w:tcW w:w="3543" w:type="dxa"/>
            <w:vMerge w:val="restart"/>
          </w:tcPr>
          <w:p w:rsidR="00042197" w:rsidRDefault="00DD4448">
            <w:pPr>
              <w:rPr>
                <w:sz w:val="24"/>
              </w:rPr>
            </w:pPr>
            <w:r>
              <w:rPr>
                <w:sz w:val="24"/>
              </w:rPr>
              <w:t>Počet žádostí - nemovitosti</w:t>
            </w:r>
          </w:p>
        </w:tc>
        <w:tc>
          <w:tcPr>
            <w:tcW w:w="2835" w:type="dxa"/>
            <w:vMerge w:val="restart"/>
          </w:tcPr>
          <w:p w:rsidR="00042197" w:rsidRDefault="00DD444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042197" w:rsidRDefault="00042197">
      <w:pPr>
        <w:ind w:left="-283"/>
      </w:pPr>
    </w:p>
    <w:p w:rsidR="00042197" w:rsidRDefault="00DD4448">
      <w:pPr>
        <w:ind w:left="-283"/>
        <w:rPr>
          <w:b/>
          <w:sz w:val="28"/>
        </w:rPr>
      </w:pPr>
      <w:r>
        <w:rPr>
          <w:b/>
          <w:sz w:val="28"/>
        </w:rPr>
        <w:t>Typ žádostí</w:t>
      </w:r>
    </w:p>
    <w:p w:rsidR="00042197" w:rsidRDefault="00DD4448">
      <w:pPr>
        <w:ind w:left="-283"/>
        <w:rPr>
          <w:sz w:val="24"/>
        </w:rPr>
      </w:pPr>
      <w:r>
        <w:rPr>
          <w:sz w:val="24"/>
        </w:rPr>
        <w:t xml:space="preserve">Z celkového počtu 15 evidovaných žádostí se 5 týká oblasti technologií, 10 se pak oblasti nemovitostí, </w:t>
      </w:r>
      <w:r>
        <w:rPr>
          <w:sz w:val="24"/>
        </w:rPr>
        <w:t xml:space="preserve">přičemž </w:t>
      </w:r>
      <w:r>
        <w:rPr>
          <w:b/>
          <w:sz w:val="24"/>
        </w:rPr>
        <w:t xml:space="preserve">v případě projektů týkajících se nemovitostí NRB předpokládá splnění požadavků energetické náročnosti a úspory energií. </w:t>
      </w:r>
      <w:r>
        <w:rPr>
          <w:sz w:val="24"/>
        </w:rPr>
        <w:t>Tyto projekty v současnos</w:t>
      </w:r>
      <w:r>
        <w:rPr>
          <w:sz w:val="24"/>
        </w:rPr>
        <w:t>ti čekají na kompletaci dokumentace za strany žadatele (např. prodloužení stavebního povolení apod.).</w:t>
      </w:r>
    </w:p>
    <w:p w:rsidR="00042197" w:rsidRDefault="00042197">
      <w:pPr>
        <w:ind w:left="-283"/>
        <w:rPr>
          <w:sz w:val="24"/>
        </w:rPr>
      </w:pPr>
    </w:p>
    <w:p w:rsidR="00042197" w:rsidRDefault="00DD4448">
      <w:pPr>
        <w:ind w:left="-283"/>
        <w:rPr>
          <w:b/>
          <w:sz w:val="28"/>
        </w:rPr>
      </w:pPr>
      <w:r>
        <w:rPr>
          <w:b/>
          <w:sz w:val="28"/>
        </w:rPr>
        <w:t>Celkový počet žádostí a důvody zamítnutí</w:t>
      </w:r>
    </w:p>
    <w:p w:rsidR="00042197" w:rsidRDefault="00DD4448">
      <w:pPr>
        <w:ind w:left="-283"/>
        <w:rPr>
          <w:sz w:val="24"/>
        </w:rPr>
      </w:pPr>
      <w:r>
        <w:rPr>
          <w:sz w:val="24"/>
        </w:rPr>
        <w:t>Příslušná pobočka NRB uskutečnila celkem 105 kontaktů se zájemci o úvěr Transformace v Karlovarském kraji, 90 ža</w:t>
      </w:r>
      <w:r>
        <w:rPr>
          <w:sz w:val="24"/>
        </w:rPr>
        <w:t>datelů (86 %) bylo zamítnuto již při prvním či druhém jednání. Nejčastějšími důvody zamítnutí byly, dle údajů banky,</w:t>
      </w:r>
      <w:r>
        <w:rPr>
          <w:b/>
          <w:sz w:val="24"/>
        </w:rPr>
        <w:t xml:space="preserve"> nedostatečné nastavení ekonomiky projektu nebo realizace projektu v rámci nepodporovaných činností.</w:t>
      </w:r>
      <w:r>
        <w:rPr>
          <w:sz w:val="24"/>
        </w:rPr>
        <w:t xml:space="preserve"> Celkem 45 % zamítnutí se pak vztahovalo</w:t>
      </w:r>
      <w:r>
        <w:rPr>
          <w:sz w:val="24"/>
        </w:rPr>
        <w:t xml:space="preserve"> ke splnění kritérií energetické náročnosti budovy a úspory energií.</w:t>
      </w:r>
    </w:p>
    <w:p w:rsidR="00042197" w:rsidRDefault="00DD4448">
      <w:pPr>
        <w:rPr>
          <w:sz w:val="24"/>
        </w:rPr>
      </w:pPr>
      <w:r>
        <w:rPr>
          <w:sz w:val="24"/>
        </w:rPr>
        <w:br w:type="page" w:clear="all"/>
      </w:r>
    </w:p>
    <w:p w:rsidR="00042197" w:rsidRDefault="00042197">
      <w:pPr>
        <w:ind w:left="-283"/>
        <w:rPr>
          <w:sz w:val="24"/>
        </w:rPr>
      </w:pPr>
    </w:p>
    <w:p w:rsidR="00042197" w:rsidRDefault="00DD4448">
      <w:pPr>
        <w:ind w:left="-283"/>
        <w:rPr>
          <w:i/>
          <w:sz w:val="24"/>
        </w:rPr>
      </w:pPr>
      <w:r>
        <w:rPr>
          <w:i/>
          <w:sz w:val="24"/>
        </w:rPr>
        <w:t xml:space="preserve">Tabulka 2: Shrnutí - Zamítnuté žádosti (zdroj: NRB, </w:t>
      </w:r>
      <w:r>
        <w:rPr>
          <w:i/>
          <w:sz w:val="24"/>
        </w:rPr>
        <w:t>stav k 5.10. 2023</w:t>
      </w:r>
      <w:r>
        <w:rPr>
          <w:i/>
          <w:sz w:val="24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042197">
        <w:tc>
          <w:tcPr>
            <w:tcW w:w="4677" w:type="dxa"/>
          </w:tcPr>
          <w:p w:rsidR="00042197" w:rsidRDefault="00DD4448">
            <w:pPr>
              <w:rPr>
                <w:sz w:val="24"/>
              </w:rPr>
            </w:pPr>
            <w:r>
              <w:rPr>
                <w:sz w:val="24"/>
              </w:rPr>
              <w:t xml:space="preserve">Celkový počet kontaktů se zájemci o úvěr </w:t>
            </w:r>
          </w:p>
        </w:tc>
        <w:tc>
          <w:tcPr>
            <w:tcW w:w="4677" w:type="dxa"/>
          </w:tcPr>
          <w:p w:rsidR="00042197" w:rsidRDefault="00DD4448">
            <w:pPr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</w:tr>
      <w:tr w:rsidR="00042197">
        <w:tc>
          <w:tcPr>
            <w:tcW w:w="4677" w:type="dxa"/>
          </w:tcPr>
          <w:p w:rsidR="00042197" w:rsidRDefault="00DD4448">
            <w:pPr>
              <w:rPr>
                <w:sz w:val="24"/>
              </w:rPr>
            </w:pPr>
            <w:r>
              <w:rPr>
                <w:sz w:val="24"/>
              </w:rPr>
              <w:t>Procento zamítnutých žádostí</w:t>
            </w:r>
          </w:p>
        </w:tc>
        <w:tc>
          <w:tcPr>
            <w:tcW w:w="4677" w:type="dxa"/>
          </w:tcPr>
          <w:p w:rsidR="00042197" w:rsidRDefault="00DD4448">
            <w:pPr>
              <w:rPr>
                <w:sz w:val="24"/>
              </w:rPr>
            </w:pPr>
            <w:r>
              <w:rPr>
                <w:sz w:val="24"/>
              </w:rPr>
              <w:t>86 %</w:t>
            </w:r>
          </w:p>
        </w:tc>
      </w:tr>
      <w:tr w:rsidR="00042197">
        <w:trPr>
          <w:trHeight w:val="628"/>
        </w:trPr>
        <w:tc>
          <w:tcPr>
            <w:tcW w:w="4677" w:type="dxa"/>
          </w:tcPr>
          <w:p w:rsidR="00042197" w:rsidRDefault="00DD44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Procento zamítnutí z důvodu požadavku na úspory energie a energetickou náročnost</w:t>
            </w:r>
          </w:p>
        </w:tc>
        <w:tc>
          <w:tcPr>
            <w:tcW w:w="4677" w:type="dxa"/>
          </w:tcPr>
          <w:p w:rsidR="00042197" w:rsidRDefault="00DD44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45 %</w:t>
            </w:r>
          </w:p>
        </w:tc>
      </w:tr>
    </w:tbl>
    <w:p w:rsidR="00042197" w:rsidRDefault="00042197">
      <w:pPr>
        <w:ind w:left="-283"/>
      </w:pPr>
    </w:p>
    <w:p w:rsidR="00042197" w:rsidRDefault="00DD4448">
      <w:pPr>
        <w:ind w:left="-283"/>
        <w:rPr>
          <w:b/>
          <w:color w:val="000000"/>
          <w:sz w:val="28"/>
        </w:rPr>
      </w:pPr>
      <w:r>
        <w:rPr>
          <w:b/>
          <w:color w:val="000000" w:themeColor="text1"/>
          <w:sz w:val="28"/>
        </w:rPr>
        <w:t>Absorpční kapacita</w:t>
      </w:r>
    </w:p>
    <w:p w:rsidR="00042197" w:rsidRDefault="00DD4448">
      <w:pPr>
        <w:ind w:left="-283"/>
        <w:rPr>
          <w:color w:val="000000"/>
          <w:sz w:val="24"/>
        </w:rPr>
      </w:pPr>
      <w:r>
        <w:rPr>
          <w:color w:val="000000" w:themeColor="text1"/>
          <w:sz w:val="24"/>
        </w:rPr>
        <w:t>Na základě prozatím podaných žádostí v období od spuštění finančního nástroje, jejich stavu, předpokladu čerpání a dosavadnímu zájmu ze strany žadate</w:t>
      </w:r>
      <w:r>
        <w:rPr>
          <w:color w:val="000000" w:themeColor="text1"/>
          <w:sz w:val="24"/>
        </w:rPr>
        <w:t xml:space="preserve">lů, banka odhaduje, že absorpční kapacita úvěrového nástroje v Karlovarském kraji se může pohybovat okolo 600 mil. Kč. To by znamenalo </w:t>
      </w:r>
      <w:r>
        <w:rPr>
          <w:b/>
          <w:color w:val="000000" w:themeColor="text1"/>
          <w:sz w:val="24"/>
        </w:rPr>
        <w:t>navýšení současné alokace finančního nástroje pro Karlovarský kraj o 400 mil. Kč</w:t>
      </w:r>
      <w:r>
        <w:rPr>
          <w:color w:val="000000" w:themeColor="text1"/>
          <w:sz w:val="24"/>
        </w:rPr>
        <w:t>.</w:t>
      </w:r>
    </w:p>
    <w:p w:rsidR="00042197" w:rsidRDefault="00DD4448">
      <w:pPr>
        <w:ind w:left="-283"/>
        <w:rPr>
          <w:color w:val="000000"/>
          <w:sz w:val="24"/>
        </w:rPr>
      </w:pPr>
      <w:r>
        <w:rPr>
          <w:color w:val="000000" w:themeColor="text1"/>
          <w:sz w:val="24"/>
        </w:rPr>
        <w:t>Příjem žádostí v rámci úvěrového nástro</w:t>
      </w:r>
      <w:r>
        <w:rPr>
          <w:color w:val="000000" w:themeColor="text1"/>
          <w:sz w:val="24"/>
        </w:rPr>
        <w:t xml:space="preserve">je byl zahájen 17.4. 2023, výše uvedený předpokládaný objem čerpání (stav k 5.10. 2023) tedy odpovídá stavu zhruba po půl roce od spuštění finančního nástroje. Příjem žádostí v rámci vyhlášené výzvy je umožněn do 31.12. 2026, tedy po dobu nadcházejících 3 </w:t>
      </w:r>
      <w:r>
        <w:rPr>
          <w:color w:val="000000" w:themeColor="text1"/>
          <w:sz w:val="24"/>
        </w:rPr>
        <w:t>let, což odpovídá šestinásobku dosavadního období, po které je výzva vyhlášena.</w:t>
      </w:r>
    </w:p>
    <w:p w:rsidR="00042197" w:rsidRDefault="00DD4448">
      <w:pPr>
        <w:ind w:left="-283"/>
        <w:rPr>
          <w:color w:val="000000"/>
          <w:sz w:val="24"/>
        </w:rPr>
      </w:pPr>
      <w:r>
        <w:rPr>
          <w:color w:val="000000" w:themeColor="text1"/>
          <w:sz w:val="24"/>
        </w:rPr>
        <w:t xml:space="preserve">Přesto, že banka hodnotí pravděpodobnost uzavření úvěrů jako vysokou, jedná se prozatím o neuzavřené úvěry. Do absorpční kapacity se rovněž promítá řada dalších faktorů, které </w:t>
      </w:r>
      <w:r>
        <w:rPr>
          <w:color w:val="000000" w:themeColor="text1"/>
          <w:sz w:val="24"/>
        </w:rPr>
        <w:t>se mohou v uvedeném období měnit jako je např. makroekonomická situace, další dostupné nástroje podpory apod. a je ji tedy relativně obtížné odhadovat. Např. zkušenosti s obdobným nástrojem Expanze v Karlovarském kraji však ukazují, že po pomalejším rozjez</w:t>
      </w:r>
      <w:r>
        <w:rPr>
          <w:color w:val="000000" w:themeColor="text1"/>
          <w:sz w:val="24"/>
        </w:rPr>
        <w:t xml:space="preserve">du finančního nástroje (jednalo se o nový produkt), byl zájem žadatelů během let před nástupem pandemie COVID relativně konstantní. I z této zkušenosti lze tedy odhadovat, že </w:t>
      </w:r>
      <w:r>
        <w:rPr>
          <w:color w:val="000000" w:themeColor="text1"/>
          <w:sz w:val="24"/>
        </w:rPr>
        <w:t xml:space="preserve">zájem o finanční nástroj ze strany žadatelů může dále pokračovat a </w:t>
      </w:r>
      <w:r>
        <w:rPr>
          <w:b/>
          <w:color w:val="000000" w:themeColor="text1"/>
          <w:sz w:val="24"/>
        </w:rPr>
        <w:t>odhad banky se</w:t>
      </w:r>
      <w:r>
        <w:rPr>
          <w:b/>
          <w:color w:val="000000" w:themeColor="text1"/>
          <w:sz w:val="24"/>
        </w:rPr>
        <w:t xml:space="preserve"> tak jeví jako realistický</w:t>
      </w:r>
      <w:r>
        <w:rPr>
          <w:color w:val="000000" w:themeColor="text1"/>
          <w:sz w:val="24"/>
        </w:rPr>
        <w:t>.</w:t>
      </w:r>
    </w:p>
    <w:p w:rsidR="00042197" w:rsidRDefault="00042197">
      <w:pPr>
        <w:ind w:left="-283"/>
      </w:pPr>
    </w:p>
    <w:p w:rsidR="00042197" w:rsidRDefault="00DD4448">
      <w:pPr>
        <w:ind w:left="-283"/>
        <w:rPr>
          <w:sz w:val="24"/>
        </w:rPr>
      </w:pPr>
      <w:r>
        <w:rPr>
          <w:sz w:val="24"/>
        </w:rPr>
        <w:t xml:space="preserve">Zpracoval: Tomáš </w:t>
      </w:r>
      <w:proofErr w:type="spellStart"/>
      <w:r>
        <w:rPr>
          <w:sz w:val="24"/>
        </w:rPr>
        <w:t>Komm</w:t>
      </w:r>
      <w:proofErr w:type="spellEnd"/>
      <w:r>
        <w:rPr>
          <w:sz w:val="24"/>
        </w:rPr>
        <w:t>, oddělení metodiky spravedlivé transformace (311), MŽP</w:t>
      </w:r>
    </w:p>
    <w:sectPr w:rsidR="00042197">
      <w:headerReference w:type="default" r:id="rId6"/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197" w:rsidRDefault="00DD4448">
      <w:pPr>
        <w:spacing w:after="0" w:line="240" w:lineRule="auto"/>
      </w:pPr>
      <w:r>
        <w:separator/>
      </w:r>
    </w:p>
  </w:endnote>
  <w:endnote w:type="continuationSeparator" w:id="0">
    <w:p w:rsidR="00042197" w:rsidRDefault="00DD4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197" w:rsidRDefault="00042197">
    <w:pPr>
      <w:pStyle w:val="Zpat"/>
      <w:rPr>
        <w:color w:val="3E1F65"/>
      </w:rPr>
    </w:pPr>
  </w:p>
  <w:p w:rsidR="00042197" w:rsidRDefault="000421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197" w:rsidRDefault="00DD4448">
      <w:pPr>
        <w:spacing w:after="0" w:line="240" w:lineRule="auto"/>
      </w:pPr>
      <w:r>
        <w:separator/>
      </w:r>
    </w:p>
  </w:footnote>
  <w:footnote w:type="continuationSeparator" w:id="0">
    <w:p w:rsidR="00042197" w:rsidRDefault="00DD4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197" w:rsidRDefault="00DD4448">
    <w:pPr>
      <w:pStyle w:val="Zhlav"/>
    </w:pPr>
    <w:r>
      <w:rPr>
        <w:noProof/>
      </w:rPr>
      <mc:AlternateContent>
        <mc:Choice Requires="wpg">
          <w:drawing>
            <wp:inline distT="0" distB="0" distL="0" distR="0">
              <wp:extent cx="5711961" cy="429491"/>
              <wp:effectExtent l="0" t="0" r="0" b="0"/>
              <wp:docPr id="1" name="Obrázek 26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26826509" name="Obrázek 260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11960" cy="429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449.8pt;height:33.8pt;rotation:0;" stroked="f">
              <v:path textboxrect="0,0,0,0"/>
              <v:imagedata r:id="rId2" o:title="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197"/>
    <w:rsid w:val="00042197"/>
    <w:rsid w:val="0004677A"/>
    <w:rsid w:val="00DD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B7A51-4522-415B-A3C3-BB99A3AE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/>
    </w:pPr>
    <w:rPr>
      <w:sz w:val="24"/>
      <w:szCs w:val="24"/>
    </w:r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paragraph" w:styleId="Bezmezer">
    <w:name w:val="No Spacing"/>
    <w:basedOn w:val="Normln"/>
    <w:uiPriority w:val="1"/>
    <w:qFormat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Lásková Lenka</dc:creator>
  <cp:lastModifiedBy>Lásková Lenka</cp:lastModifiedBy>
  <cp:revision>2</cp:revision>
  <dcterms:created xsi:type="dcterms:W3CDTF">2023-10-26T07:38:00Z</dcterms:created>
  <dcterms:modified xsi:type="dcterms:W3CDTF">2023-10-26T07:38:00Z</dcterms:modified>
</cp:coreProperties>
</file>