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77777777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24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77777777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702A27" w:rsidRPr="008821D1">
        <w:rPr>
          <w:rFonts w:ascii="Times New Roman" w:eastAsia="Times New Roman" w:hAnsi="Times New Roman" w:cs="Times New Roman"/>
          <w:sz w:val="28"/>
        </w:rPr>
        <w:t>19.09</w:t>
      </w:r>
      <w:r w:rsidR="00FD7425" w:rsidRPr="008821D1">
        <w:rPr>
          <w:rFonts w:ascii="Times New Roman" w:eastAsia="Times New Roman" w:hAnsi="Times New Roman" w:cs="Times New Roman"/>
          <w:sz w:val="28"/>
        </w:rPr>
        <w:t>.2022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77777777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4F0E8B" w:rsidRPr="008821D1">
        <w:rPr>
          <w:rFonts w:ascii="Times New Roman" w:eastAsia="Times New Roman" w:hAnsi="Times New Roman" w:cs="Times New Roman"/>
          <w:sz w:val="28"/>
        </w:rPr>
        <w:t>5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5FFBE12" w14:textId="77777777" w:rsidR="006B7C5F" w:rsidRPr="008821D1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4F0E8B" w:rsidRPr="008821D1">
        <w:rPr>
          <w:rFonts w:ascii="Times New Roman" w:eastAsia="Times New Roman" w:hAnsi="Times New Roman"/>
          <w:sz w:val="28"/>
        </w:rPr>
        <w:t>Strategické projekty Karlovarského kraje OPST</w:t>
      </w:r>
    </w:p>
    <w:p w14:paraId="5F2B7202" w14:textId="77777777" w:rsidR="006015F9" w:rsidRPr="008821D1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20C19CC8" w14:textId="77777777" w:rsidR="005D5735" w:rsidRPr="008821D1" w:rsidRDefault="004F6236" w:rsidP="005D5735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5D5735" w:rsidRPr="008821D1">
        <w:rPr>
          <w:rFonts w:ascii="Times New Roman" w:eastAsia="Times New Roman" w:hAnsi="Times New Roman" w:cs="Times New Roman"/>
          <w:sz w:val="28"/>
        </w:rPr>
        <w:t xml:space="preserve">Patrik Pizinger </w:t>
      </w:r>
    </w:p>
    <w:p w14:paraId="3EA86745" w14:textId="77777777" w:rsidR="006015F9" w:rsidRPr="008821D1" w:rsidRDefault="005D5735" w:rsidP="005D5735">
      <w:pPr>
        <w:spacing w:line="240" w:lineRule="auto"/>
        <w:ind w:left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sz w:val="28"/>
        </w:rPr>
        <w:t>Člen Rady Karlovarského kraje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4000677C" w14:textId="77777777" w:rsidR="00177D15" w:rsidRPr="008821D1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6A8ECD39" w14:textId="77777777" w:rsidR="00177D15" w:rsidRPr="008821D1" w:rsidRDefault="00177D15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0363E0FF" w14:textId="77777777" w:rsidR="00177D15" w:rsidRPr="008821D1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21D1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29BB4F95" w14:textId="77777777" w:rsidR="002A18C0" w:rsidRPr="008266FF" w:rsidRDefault="002A18C0" w:rsidP="008266FF">
      <w:pPr>
        <w:pStyle w:val="Odstavecseseznamem"/>
        <w:keepNext/>
        <w:numPr>
          <w:ilvl w:val="0"/>
          <w:numId w:val="37"/>
        </w:numPr>
        <w:spacing w:before="24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266F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11E8E2C5" w14:textId="44950278" w:rsidR="002A18C0" w:rsidRPr="008821D1" w:rsidRDefault="002A18C0" w:rsidP="002A18C0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1D1">
        <w:rPr>
          <w:rFonts w:ascii="Times New Roman" w:hAnsi="Times New Roman" w:cs="Times New Roman"/>
          <w:sz w:val="24"/>
          <w:szCs w:val="24"/>
        </w:rPr>
        <w:t>informace</w:t>
      </w:r>
      <w:r w:rsidR="00924585">
        <w:rPr>
          <w:rFonts w:ascii="Times New Roman" w:hAnsi="Times New Roman" w:cs="Times New Roman"/>
          <w:sz w:val="24"/>
          <w:szCs w:val="24"/>
        </w:rPr>
        <w:t xml:space="preserve"> nositele</w:t>
      </w:r>
      <w:r w:rsidRPr="008821D1">
        <w:rPr>
          <w:rFonts w:ascii="Times New Roman" w:hAnsi="Times New Roman" w:cs="Times New Roman"/>
          <w:sz w:val="24"/>
          <w:szCs w:val="24"/>
        </w:rPr>
        <w:t xml:space="preserve"> o dalším směřování strategických projektů „</w:t>
      </w:r>
      <w:r w:rsidRPr="002A6103">
        <w:rPr>
          <w:rFonts w:ascii="Times New Roman" w:hAnsi="Times New Roman" w:cs="Times New Roman"/>
          <w:i/>
          <w:sz w:val="24"/>
          <w:szCs w:val="24"/>
        </w:rPr>
        <w:t>Krajská kulturní a kreativní kancelář - 4K</w:t>
      </w:r>
      <w:r w:rsidRPr="008821D1">
        <w:rPr>
          <w:rFonts w:ascii="Times New Roman" w:hAnsi="Times New Roman" w:cs="Times New Roman"/>
          <w:sz w:val="24"/>
          <w:szCs w:val="24"/>
        </w:rPr>
        <w:t>“ a „</w:t>
      </w:r>
      <w:r w:rsidRPr="002A6103">
        <w:rPr>
          <w:rFonts w:ascii="Times New Roman" w:hAnsi="Times New Roman" w:cs="Times New Roman"/>
          <w:i/>
          <w:sz w:val="24"/>
          <w:szCs w:val="24"/>
        </w:rPr>
        <w:t>Agentura pro transformaci Karlovarského kraje</w:t>
      </w:r>
      <w:r w:rsidRPr="008821D1">
        <w:rPr>
          <w:rFonts w:ascii="Times New Roman" w:hAnsi="Times New Roman" w:cs="Times New Roman"/>
          <w:sz w:val="24"/>
          <w:szCs w:val="24"/>
        </w:rPr>
        <w:t>“</w:t>
      </w:r>
    </w:p>
    <w:p w14:paraId="2E5058AA" w14:textId="77777777" w:rsidR="002A18C0" w:rsidRPr="008266FF" w:rsidRDefault="002A18C0" w:rsidP="008266FF">
      <w:pPr>
        <w:pStyle w:val="Odstavecseseznamem"/>
        <w:keepNext/>
        <w:numPr>
          <w:ilvl w:val="0"/>
          <w:numId w:val="37"/>
        </w:num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6FF">
        <w:rPr>
          <w:rFonts w:ascii="Times New Roman" w:hAnsi="Times New Roman"/>
          <w:b/>
          <w:sz w:val="24"/>
          <w:szCs w:val="24"/>
        </w:rPr>
        <w:t>souhlasí</w:t>
      </w:r>
    </w:p>
    <w:p w14:paraId="5B6634F8" w14:textId="77777777" w:rsidR="002A18C0" w:rsidRPr="00F74E47" w:rsidRDefault="002A18C0" w:rsidP="002A18C0">
      <w:pPr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821D1">
        <w:rPr>
          <w:rFonts w:ascii="Times New Roman" w:hAnsi="Times New Roman"/>
          <w:sz w:val="24"/>
          <w:szCs w:val="24"/>
        </w:rPr>
        <w:t>s tím, aby byl projekt „</w:t>
      </w:r>
      <w:r w:rsidRPr="002A6103">
        <w:rPr>
          <w:rFonts w:ascii="Times New Roman" w:hAnsi="Times New Roman"/>
          <w:i/>
          <w:sz w:val="24"/>
          <w:szCs w:val="24"/>
        </w:rPr>
        <w:t>Krajská kulturní a kreativní kancelář - 4K</w:t>
      </w:r>
      <w:r w:rsidRPr="008821D1">
        <w:rPr>
          <w:rFonts w:ascii="Times New Roman" w:hAnsi="Times New Roman"/>
          <w:sz w:val="24"/>
          <w:szCs w:val="24"/>
        </w:rPr>
        <w:t>“ nadále připravován jako strategický projekt Operačního programu Spravedlivá transformace, s možností dílčích doplnění/úprav ve vazbě na stažení projektu „</w:t>
      </w:r>
      <w:r w:rsidRPr="002A6103">
        <w:rPr>
          <w:rFonts w:ascii="Times New Roman" w:hAnsi="Times New Roman"/>
          <w:i/>
          <w:sz w:val="24"/>
          <w:szCs w:val="24"/>
        </w:rPr>
        <w:t>Agentura pro transformaci Karlovarského kraje</w:t>
      </w:r>
      <w:r w:rsidRPr="008821D1">
        <w:rPr>
          <w:rFonts w:ascii="Times New Roman" w:hAnsi="Times New Roman"/>
          <w:sz w:val="24"/>
          <w:szCs w:val="24"/>
        </w:rPr>
        <w:t>“</w:t>
      </w:r>
    </w:p>
    <w:p w14:paraId="7B0AE54F" w14:textId="42C4B8CF" w:rsidR="0066361D" w:rsidRPr="008266FF" w:rsidRDefault="00422EF8" w:rsidP="008266FF">
      <w:pPr>
        <w:pStyle w:val="Odstavecseseznamem"/>
        <w:keepNext/>
        <w:numPr>
          <w:ilvl w:val="0"/>
          <w:numId w:val="37"/>
        </w:numPr>
        <w:spacing w:before="24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266F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2D27641E" w14:textId="3B00D43B" w:rsidR="0066361D" w:rsidRDefault="0066361D" w:rsidP="0066361D">
      <w:pPr>
        <w:keepNext/>
        <w:spacing w:before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doporučení SFŽP a expertní komise ke všem potenciálně strategickým projektům</w:t>
      </w:r>
      <w:r w:rsidR="00924585">
        <w:rPr>
          <w:rFonts w:ascii="Times New Roman" w:eastAsia="Times New Roman" w:hAnsi="Times New Roman"/>
          <w:sz w:val="24"/>
          <w:szCs w:val="24"/>
        </w:rPr>
        <w:t xml:space="preserve"> a </w:t>
      </w:r>
      <w:r>
        <w:rPr>
          <w:rFonts w:ascii="Times New Roman" w:eastAsia="Times New Roman" w:hAnsi="Times New Roman"/>
          <w:sz w:val="24"/>
          <w:szCs w:val="24"/>
        </w:rPr>
        <w:t xml:space="preserve">vyjádření žadatelů k doporučením </w:t>
      </w:r>
      <w:r w:rsidR="00265F8B">
        <w:rPr>
          <w:rFonts w:ascii="Times New Roman" w:eastAsia="Times New Roman" w:hAnsi="Times New Roman"/>
          <w:sz w:val="24"/>
          <w:szCs w:val="24"/>
        </w:rPr>
        <w:t xml:space="preserve">ze strany </w:t>
      </w:r>
      <w:r>
        <w:rPr>
          <w:rFonts w:ascii="Times New Roman" w:eastAsia="Times New Roman" w:hAnsi="Times New Roman"/>
          <w:sz w:val="24"/>
          <w:szCs w:val="24"/>
        </w:rPr>
        <w:t>SFŽP a expertní komise</w:t>
      </w:r>
    </w:p>
    <w:p w14:paraId="5B38A9AA" w14:textId="77777777" w:rsidR="002A18C0" w:rsidRPr="008821D1" w:rsidRDefault="002A18C0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D1C5A3" w14:textId="77777777" w:rsidR="00177D15" w:rsidRPr="008266FF" w:rsidRDefault="00177D15" w:rsidP="008266FF">
      <w:pPr>
        <w:pStyle w:val="Odstavecseseznamem"/>
        <w:keepNext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6FF">
        <w:rPr>
          <w:rFonts w:ascii="Times New Roman" w:hAnsi="Times New Roman"/>
          <w:b/>
          <w:sz w:val="24"/>
          <w:szCs w:val="24"/>
        </w:rPr>
        <w:lastRenderedPageBreak/>
        <w:t>schvalují</w:t>
      </w:r>
    </w:p>
    <w:p w14:paraId="3597C0C1" w14:textId="1B103FE4" w:rsidR="00177D15" w:rsidRPr="008821D1" w:rsidRDefault="00012857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03">
        <w:rPr>
          <w:rFonts w:ascii="Times New Roman" w:hAnsi="Times New Roman" w:cs="Times New Roman"/>
          <w:sz w:val="24"/>
          <w:szCs w:val="24"/>
        </w:rPr>
        <w:t>průběžné</w:t>
      </w:r>
      <w:r w:rsidR="00265F8B">
        <w:rPr>
          <w:rFonts w:ascii="Times New Roman" w:hAnsi="Times New Roman" w:cs="Times New Roman"/>
          <w:sz w:val="24"/>
          <w:szCs w:val="24"/>
        </w:rPr>
        <w:t xml:space="preserve"> vyhodnocování </w:t>
      </w:r>
      <w:r w:rsidR="00924585">
        <w:rPr>
          <w:rFonts w:ascii="Times New Roman" w:hAnsi="Times New Roman" w:cs="Times New Roman"/>
          <w:sz w:val="24"/>
          <w:szCs w:val="24"/>
        </w:rPr>
        <w:t>disponibilní alokac</w:t>
      </w:r>
      <w:r w:rsidR="00265F8B">
        <w:rPr>
          <w:rFonts w:ascii="Times New Roman" w:hAnsi="Times New Roman" w:cs="Times New Roman"/>
          <w:sz w:val="24"/>
          <w:szCs w:val="24"/>
        </w:rPr>
        <w:t>e</w:t>
      </w:r>
      <w:r w:rsidR="00924585">
        <w:rPr>
          <w:rFonts w:ascii="Times New Roman" w:hAnsi="Times New Roman" w:cs="Times New Roman"/>
          <w:sz w:val="24"/>
          <w:szCs w:val="24"/>
        </w:rPr>
        <w:t xml:space="preserve"> do </w:t>
      </w:r>
      <w:r w:rsidR="00177D15" w:rsidRPr="008821D1">
        <w:rPr>
          <w:rFonts w:ascii="Times New Roman" w:hAnsi="Times New Roman" w:cs="Times New Roman"/>
          <w:sz w:val="24"/>
          <w:szCs w:val="24"/>
        </w:rPr>
        <w:t>maximální</w:t>
      </w:r>
      <w:r w:rsidR="00924585">
        <w:rPr>
          <w:rFonts w:ascii="Times New Roman" w:hAnsi="Times New Roman" w:cs="Times New Roman"/>
          <w:sz w:val="24"/>
          <w:szCs w:val="24"/>
        </w:rPr>
        <w:t xml:space="preserve"> stanovené </w:t>
      </w:r>
      <w:r w:rsidR="00924585" w:rsidRPr="008821D1">
        <w:rPr>
          <w:rFonts w:ascii="Times New Roman" w:hAnsi="Times New Roman" w:cs="Times New Roman"/>
          <w:sz w:val="24"/>
          <w:szCs w:val="24"/>
        </w:rPr>
        <w:t>výše 50 %</w:t>
      </w:r>
      <w:r w:rsidR="00054147">
        <w:rPr>
          <w:rFonts w:ascii="Times New Roman" w:hAnsi="Times New Roman" w:cs="Times New Roman"/>
          <w:sz w:val="24"/>
          <w:szCs w:val="24"/>
        </w:rPr>
        <w:t>,</w:t>
      </w:r>
      <w:r w:rsidR="00924585" w:rsidRPr="008821D1">
        <w:rPr>
          <w:rFonts w:ascii="Times New Roman" w:hAnsi="Times New Roman" w:cs="Times New Roman"/>
          <w:sz w:val="24"/>
          <w:szCs w:val="24"/>
        </w:rPr>
        <w:t xml:space="preserve"> </w:t>
      </w:r>
      <w:r w:rsidR="00265F8B" w:rsidRPr="008821D1">
        <w:rPr>
          <w:rFonts w:ascii="Times New Roman" w:hAnsi="Times New Roman" w:cs="Times New Roman"/>
          <w:sz w:val="24"/>
          <w:szCs w:val="24"/>
        </w:rPr>
        <w:t xml:space="preserve">určené </w:t>
      </w:r>
      <w:r w:rsidR="00054147">
        <w:rPr>
          <w:rFonts w:ascii="Times New Roman" w:hAnsi="Times New Roman" w:cs="Times New Roman"/>
          <w:sz w:val="24"/>
          <w:szCs w:val="24"/>
        </w:rPr>
        <w:t>k</w:t>
      </w:r>
      <w:r w:rsidR="00265F8B" w:rsidRPr="008821D1">
        <w:rPr>
          <w:rFonts w:ascii="Times New Roman" w:hAnsi="Times New Roman" w:cs="Times New Roman"/>
          <w:sz w:val="24"/>
          <w:szCs w:val="24"/>
        </w:rPr>
        <w:t xml:space="preserve"> realizaci strategických projektů </w:t>
      </w:r>
      <w:r w:rsidR="00265F8B">
        <w:rPr>
          <w:rFonts w:ascii="Times New Roman" w:hAnsi="Times New Roman" w:cs="Times New Roman"/>
          <w:sz w:val="24"/>
          <w:szCs w:val="24"/>
        </w:rPr>
        <w:t xml:space="preserve">OPST z </w:t>
      </w:r>
      <w:r w:rsidR="00924585" w:rsidRPr="008821D1">
        <w:rPr>
          <w:rFonts w:ascii="Times New Roman" w:hAnsi="Times New Roman" w:cs="Times New Roman"/>
          <w:sz w:val="24"/>
          <w:szCs w:val="24"/>
        </w:rPr>
        <w:t xml:space="preserve">celkové alokace kraje </w:t>
      </w:r>
      <w:r w:rsidR="00265F8B">
        <w:rPr>
          <w:rFonts w:ascii="Times New Roman" w:hAnsi="Times New Roman" w:cs="Times New Roman"/>
          <w:sz w:val="24"/>
          <w:szCs w:val="24"/>
        </w:rPr>
        <w:t>OPST</w:t>
      </w:r>
    </w:p>
    <w:p w14:paraId="19CA6AFB" w14:textId="77777777" w:rsidR="00177D15" w:rsidRPr="008821D1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31194" w14:textId="77777777" w:rsidR="003A628D" w:rsidRPr="008266FF" w:rsidRDefault="003A628D" w:rsidP="008266FF">
      <w:pPr>
        <w:pStyle w:val="Odstavecseseznamem"/>
        <w:keepNext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6FF">
        <w:rPr>
          <w:rFonts w:ascii="Times New Roman" w:hAnsi="Times New Roman"/>
          <w:b/>
          <w:sz w:val="24"/>
          <w:szCs w:val="24"/>
        </w:rPr>
        <w:t>schvalují</w:t>
      </w:r>
    </w:p>
    <w:p w14:paraId="3006259F" w14:textId="27C42FDF" w:rsidR="00DD4339" w:rsidRPr="008821D1" w:rsidRDefault="003A628D" w:rsidP="003A628D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1D1">
        <w:rPr>
          <w:rFonts w:ascii="Times New Roman" w:hAnsi="Times New Roman" w:cs="Times New Roman"/>
          <w:sz w:val="24"/>
          <w:szCs w:val="24"/>
        </w:rPr>
        <w:t xml:space="preserve">návrh na případné využití zbylé alokace z mechanizmu strategických projektů do </w:t>
      </w:r>
      <w:r w:rsidR="00652B8C">
        <w:rPr>
          <w:rFonts w:ascii="Times New Roman" w:hAnsi="Times New Roman" w:cs="Times New Roman"/>
          <w:sz w:val="24"/>
          <w:szCs w:val="24"/>
        </w:rPr>
        <w:t xml:space="preserve">ostatních </w:t>
      </w:r>
      <w:r w:rsidRPr="008821D1">
        <w:rPr>
          <w:rFonts w:ascii="Times New Roman" w:hAnsi="Times New Roman" w:cs="Times New Roman"/>
          <w:sz w:val="24"/>
          <w:szCs w:val="24"/>
        </w:rPr>
        <w:t>mechanizm</w:t>
      </w:r>
      <w:r w:rsidR="00652B8C">
        <w:rPr>
          <w:rFonts w:ascii="Times New Roman" w:hAnsi="Times New Roman" w:cs="Times New Roman"/>
          <w:sz w:val="24"/>
          <w:szCs w:val="24"/>
        </w:rPr>
        <w:t>ů</w:t>
      </w:r>
      <w:r w:rsidRPr="008821D1">
        <w:rPr>
          <w:rFonts w:ascii="Times New Roman" w:hAnsi="Times New Roman" w:cs="Times New Roman"/>
          <w:sz w:val="24"/>
          <w:szCs w:val="24"/>
        </w:rPr>
        <w:t xml:space="preserve"> </w:t>
      </w:r>
      <w:r w:rsidR="00652B8C">
        <w:rPr>
          <w:rFonts w:ascii="Times New Roman" w:hAnsi="Times New Roman" w:cs="Times New Roman"/>
          <w:sz w:val="24"/>
          <w:szCs w:val="24"/>
        </w:rPr>
        <w:t>podpory OPST</w:t>
      </w:r>
    </w:p>
    <w:p w14:paraId="1AC94CB2" w14:textId="6415BF60" w:rsidR="00F857FB" w:rsidRPr="008821D1" w:rsidRDefault="00F857FB" w:rsidP="00F857FB">
      <w:pPr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011DF" w14:textId="77777777" w:rsidR="00A40E9B" w:rsidRPr="008266FF" w:rsidRDefault="003A628D" w:rsidP="008266FF">
      <w:pPr>
        <w:pStyle w:val="Odstavecseseznamem"/>
        <w:keepNext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6FF">
        <w:rPr>
          <w:rFonts w:ascii="Times New Roman" w:hAnsi="Times New Roman"/>
          <w:b/>
          <w:sz w:val="24"/>
          <w:szCs w:val="24"/>
        </w:rPr>
        <w:t>schvalují</w:t>
      </w:r>
    </w:p>
    <w:p w14:paraId="2D0A5D3F" w14:textId="0778F380" w:rsidR="00844C52" w:rsidRPr="008821D1" w:rsidRDefault="003A628D" w:rsidP="003A628D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1D1">
        <w:rPr>
          <w:rFonts w:ascii="Times New Roman" w:hAnsi="Times New Roman" w:cs="Times New Roman"/>
          <w:sz w:val="24"/>
          <w:szCs w:val="24"/>
        </w:rPr>
        <w:t xml:space="preserve">systém zasedání RSK v rámci druhé fáze rozhodování o </w:t>
      </w:r>
      <w:r w:rsidR="00265F8B">
        <w:rPr>
          <w:rFonts w:ascii="Times New Roman" w:hAnsi="Times New Roman" w:cs="Times New Roman"/>
          <w:sz w:val="24"/>
          <w:szCs w:val="24"/>
        </w:rPr>
        <w:t xml:space="preserve">strategických </w:t>
      </w:r>
      <w:r w:rsidRPr="008821D1">
        <w:rPr>
          <w:rFonts w:ascii="Times New Roman" w:hAnsi="Times New Roman" w:cs="Times New Roman"/>
          <w:sz w:val="24"/>
          <w:szCs w:val="24"/>
        </w:rPr>
        <w:t>projektech</w:t>
      </w:r>
      <w:r w:rsidR="00265F8B">
        <w:rPr>
          <w:rFonts w:ascii="Times New Roman" w:hAnsi="Times New Roman" w:cs="Times New Roman"/>
          <w:sz w:val="24"/>
          <w:szCs w:val="24"/>
        </w:rPr>
        <w:t xml:space="preserve"> OPST</w:t>
      </w:r>
      <w:r w:rsidRPr="008821D1">
        <w:rPr>
          <w:rFonts w:ascii="Times New Roman" w:hAnsi="Times New Roman" w:cs="Times New Roman"/>
          <w:sz w:val="24"/>
          <w:szCs w:val="24"/>
        </w:rPr>
        <w:t>, vždy po obdržení souhrnného stanoviska od SFŽP</w:t>
      </w:r>
      <w:r w:rsidR="00265F8B">
        <w:rPr>
          <w:rFonts w:ascii="Times New Roman" w:hAnsi="Times New Roman" w:cs="Times New Roman"/>
          <w:sz w:val="24"/>
          <w:szCs w:val="24"/>
        </w:rPr>
        <w:t>,</w:t>
      </w:r>
      <w:r w:rsidRPr="008821D1">
        <w:rPr>
          <w:rFonts w:ascii="Times New Roman" w:hAnsi="Times New Roman" w:cs="Times New Roman"/>
          <w:sz w:val="24"/>
          <w:szCs w:val="24"/>
        </w:rPr>
        <w:t xml:space="preserve"> </w:t>
      </w:r>
      <w:r w:rsidR="00652B8C">
        <w:rPr>
          <w:rFonts w:ascii="Times New Roman" w:hAnsi="Times New Roman" w:cs="Times New Roman"/>
          <w:sz w:val="24"/>
          <w:szCs w:val="24"/>
        </w:rPr>
        <w:t>přibližně</w:t>
      </w:r>
      <w:r w:rsidR="00844C52" w:rsidRPr="008821D1">
        <w:rPr>
          <w:rFonts w:ascii="Times New Roman" w:hAnsi="Times New Roman" w:cs="Times New Roman"/>
          <w:sz w:val="24"/>
          <w:szCs w:val="24"/>
        </w:rPr>
        <w:t xml:space="preserve"> jednou za 3 měsíce </w:t>
      </w:r>
    </w:p>
    <w:p w14:paraId="01A80D70" w14:textId="77777777" w:rsidR="003A628D" w:rsidRPr="008821D1" w:rsidRDefault="003A628D" w:rsidP="003A628D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8231B" w14:textId="4622212F" w:rsidR="003A628D" w:rsidRPr="008266FF" w:rsidRDefault="00422EF8" w:rsidP="008266FF">
      <w:pPr>
        <w:pStyle w:val="Odstavecseseznamem"/>
        <w:keepNext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6FF">
        <w:rPr>
          <w:rFonts w:ascii="Times New Roman" w:hAnsi="Times New Roman"/>
          <w:b/>
          <w:sz w:val="24"/>
          <w:szCs w:val="24"/>
        </w:rPr>
        <w:t>schvalují</w:t>
      </w:r>
    </w:p>
    <w:p w14:paraId="64079D19" w14:textId="46D24689" w:rsidR="003A628D" w:rsidRPr="008821D1" w:rsidRDefault="00652B8C" w:rsidP="003A628D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ponechání statutu „ </w:t>
      </w:r>
      <w:r w:rsidRPr="002A6103">
        <w:rPr>
          <w:rFonts w:ascii="Times New Roman" w:hAnsi="Times New Roman" w:cs="Times New Roman"/>
          <w:b/>
          <w:i/>
          <w:sz w:val="24"/>
          <w:szCs w:val="24"/>
        </w:rPr>
        <w:t>strategický projekt</w:t>
      </w:r>
      <w:r>
        <w:rPr>
          <w:rFonts w:ascii="Times New Roman" w:hAnsi="Times New Roman" w:cs="Times New Roman"/>
          <w:sz w:val="24"/>
          <w:szCs w:val="24"/>
        </w:rPr>
        <w:t xml:space="preserve">“ u všech 10 potencionálně strategických projektu OP ST, za splnění </w:t>
      </w:r>
      <w:r w:rsidR="00422EF8">
        <w:rPr>
          <w:rFonts w:ascii="Times New Roman" w:hAnsi="Times New Roman" w:cs="Times New Roman"/>
          <w:sz w:val="24"/>
          <w:szCs w:val="24"/>
        </w:rPr>
        <w:t>doporučení</w:t>
      </w:r>
      <w:r w:rsidR="00054147">
        <w:rPr>
          <w:rFonts w:ascii="Times New Roman" w:hAnsi="Times New Roman" w:cs="Times New Roman"/>
          <w:sz w:val="24"/>
          <w:szCs w:val="24"/>
        </w:rPr>
        <w:t xml:space="preserve"> či </w:t>
      </w:r>
      <w:r w:rsidRPr="008821D1">
        <w:rPr>
          <w:rFonts w:ascii="Times New Roman" w:hAnsi="Times New Roman" w:cs="Times New Roman"/>
          <w:sz w:val="24"/>
          <w:szCs w:val="24"/>
        </w:rPr>
        <w:t>podmín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821D1">
        <w:rPr>
          <w:rFonts w:ascii="Times New Roman" w:hAnsi="Times New Roman" w:cs="Times New Roman"/>
          <w:sz w:val="24"/>
          <w:szCs w:val="24"/>
        </w:rPr>
        <w:t>k k realizaci těchto strategických projektů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EF8">
        <w:rPr>
          <w:rFonts w:ascii="Times New Roman" w:hAnsi="Times New Roman" w:cs="Times New Roman"/>
          <w:sz w:val="24"/>
          <w:szCs w:val="24"/>
        </w:rPr>
        <w:t>stanovených</w:t>
      </w:r>
      <w:r>
        <w:rPr>
          <w:rFonts w:ascii="Times New Roman" w:hAnsi="Times New Roman" w:cs="Times New Roman"/>
          <w:sz w:val="24"/>
          <w:szCs w:val="24"/>
        </w:rPr>
        <w:t xml:space="preserve"> RSK</w:t>
      </w:r>
      <w:r w:rsidRPr="008821D1">
        <w:rPr>
          <w:rFonts w:ascii="Times New Roman" w:hAnsi="Times New Roman" w:cs="Times New Roman"/>
          <w:sz w:val="24"/>
          <w:szCs w:val="24"/>
        </w:rPr>
        <w:t>:</w:t>
      </w:r>
      <w:r w:rsidR="00422EF8" w:rsidRPr="00422EF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6"/>
        <w:gridCol w:w="2585"/>
        <w:gridCol w:w="4966"/>
      </w:tblGrid>
      <w:tr w:rsidR="00422EF8" w:rsidRPr="00422EF8" w14:paraId="771651FF" w14:textId="77777777" w:rsidTr="00422EF8">
        <w:trPr>
          <w:trHeight w:val="375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6D9F" w14:textId="77777777" w:rsidR="00422EF8" w:rsidRPr="00422EF8" w:rsidRDefault="00422EF8" w:rsidP="00422EF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Nositel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1BF7" w14:textId="77777777" w:rsidR="00422EF8" w:rsidRPr="00422EF8" w:rsidRDefault="00422EF8" w:rsidP="00422EF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Strategický projekt - název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BBD35" w14:textId="77777777" w:rsidR="00422EF8" w:rsidRPr="00422EF8" w:rsidRDefault="00422EF8" w:rsidP="00422EF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Doporučení/Podmínka RSK</w:t>
            </w:r>
          </w:p>
        </w:tc>
      </w:tr>
      <w:tr w:rsidR="00C27504" w:rsidRPr="00422EF8" w14:paraId="74485C11" w14:textId="77777777" w:rsidTr="00422EF8">
        <w:trPr>
          <w:trHeight w:val="375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C080E" w14:textId="7274301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Karlovarský kraj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C38C" w14:textId="6E65CFD3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Karlovarské inovační centrum (KIC)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3B01F" w14:textId="72ADA580" w:rsidR="00C27504" w:rsidRPr="00422EF8" w:rsidRDefault="00C27504" w:rsidP="00190AE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</w:rPr>
              <w:t>Bez d</w:t>
            </w:r>
            <w:r w:rsidR="00190AE4">
              <w:rPr>
                <w:rFonts w:ascii="Times New Roman" w:hAnsi="Times New Roman" w:cs="Times New Roman"/>
                <w:color w:val="auto"/>
              </w:rPr>
              <w:t>oporučení/p</w:t>
            </w:r>
            <w:r w:rsidRPr="00C27504">
              <w:rPr>
                <w:rFonts w:ascii="Times New Roman" w:hAnsi="Times New Roman" w:cs="Times New Roman"/>
                <w:color w:val="auto"/>
              </w:rPr>
              <w:t>odmín</w:t>
            </w:r>
            <w:r w:rsidR="00190AE4">
              <w:rPr>
                <w:rFonts w:ascii="Times New Roman" w:hAnsi="Times New Roman" w:cs="Times New Roman"/>
                <w:color w:val="auto"/>
              </w:rPr>
              <w:t>ek</w:t>
            </w:r>
            <w:r w:rsidRPr="00C27504">
              <w:rPr>
                <w:rFonts w:ascii="Times New Roman" w:hAnsi="Times New Roman" w:cs="Times New Roman"/>
                <w:color w:val="auto"/>
              </w:rPr>
              <w:t xml:space="preserve"> RSK</w:t>
            </w:r>
          </w:p>
        </w:tc>
      </w:tr>
      <w:tr w:rsidR="00422EF8" w:rsidRPr="00422EF8" w14:paraId="3A92FB95" w14:textId="77777777" w:rsidTr="00422EF8">
        <w:trPr>
          <w:trHeight w:val="415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807F" w14:textId="77777777" w:rsidR="00422EF8" w:rsidRPr="00422EF8" w:rsidRDefault="00422EF8" w:rsidP="00422EF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Město Aš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86BCB" w14:textId="77777777" w:rsidR="00422EF8" w:rsidRPr="00422EF8" w:rsidRDefault="00422EF8" w:rsidP="00422EF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22EF8">
              <w:rPr>
                <w:rFonts w:ascii="Times New Roman" w:hAnsi="Times New Roman" w:cs="Times New Roman"/>
              </w:rPr>
              <w:t>vl:aštovka</w:t>
            </w:r>
            <w:proofErr w:type="spellEnd"/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C14B3" w14:textId="0BE8C366" w:rsidR="00422EF8" w:rsidRPr="00422EF8" w:rsidRDefault="00422EF8" w:rsidP="00422EF8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422EF8">
              <w:rPr>
                <w:rFonts w:ascii="Times New Roman" w:hAnsi="Times New Roman" w:cs="Times New Roman"/>
                <w:color w:val="auto"/>
              </w:rPr>
              <w:t xml:space="preserve">Předložit stanovisko </w:t>
            </w:r>
            <w:proofErr w:type="spellStart"/>
            <w:r w:rsidRPr="00422EF8">
              <w:rPr>
                <w:rFonts w:ascii="Times New Roman" w:hAnsi="Times New Roman" w:cs="Times New Roman"/>
                <w:color w:val="auto"/>
              </w:rPr>
              <w:t>Czechinvestu</w:t>
            </w:r>
            <w:proofErr w:type="spellEnd"/>
            <w:r w:rsidRPr="00422EF8">
              <w:rPr>
                <w:rFonts w:ascii="Times New Roman" w:hAnsi="Times New Roman" w:cs="Times New Roman"/>
                <w:color w:val="auto"/>
              </w:rPr>
              <w:t xml:space="preserve"> RSK</w:t>
            </w:r>
            <w:r>
              <w:rPr>
                <w:rFonts w:ascii="Times New Roman" w:hAnsi="Times New Roman" w:cs="Times New Roman"/>
                <w:color w:val="auto"/>
              </w:rPr>
              <w:t>, jako součást</w:t>
            </w:r>
            <w:r w:rsidRPr="00422EF8">
              <w:rPr>
                <w:rFonts w:ascii="Times New Roman" w:hAnsi="Times New Roman" w:cs="Times New Roman"/>
                <w:color w:val="auto"/>
              </w:rPr>
              <w:t xml:space="preserve"> žádosti</w:t>
            </w:r>
            <w:r>
              <w:rPr>
                <w:rFonts w:ascii="Times New Roman" w:hAnsi="Times New Roman" w:cs="Times New Roman"/>
                <w:color w:val="auto"/>
              </w:rPr>
              <w:t xml:space="preserve"> předkládané</w:t>
            </w:r>
            <w:r w:rsidRPr="00422EF8">
              <w:rPr>
                <w:rFonts w:ascii="Times New Roman" w:hAnsi="Times New Roman" w:cs="Times New Roman"/>
                <w:color w:val="auto"/>
              </w:rPr>
              <w:t xml:space="preserve"> do ostré výzvy na SP</w:t>
            </w:r>
            <w:r>
              <w:rPr>
                <w:rFonts w:ascii="Times New Roman" w:hAnsi="Times New Roman" w:cs="Times New Roman"/>
                <w:color w:val="auto"/>
              </w:rPr>
              <w:t xml:space="preserve"> OPST</w:t>
            </w:r>
          </w:p>
        </w:tc>
      </w:tr>
      <w:tr w:rsidR="00C27504" w:rsidRPr="00422EF8" w14:paraId="22C5FDBF" w14:textId="77777777" w:rsidTr="00422EF8">
        <w:trPr>
          <w:trHeight w:val="415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78F1" w14:textId="2FBFDD3F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Karlovarský kraj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FA86C" w14:textId="6E979632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Kulturní a kreativní odvětví - Krajská kulturní a kreativní kancelář - 4K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CD5E2" w14:textId="6BAE6BA4" w:rsidR="00C27504" w:rsidRPr="00422EF8" w:rsidDel="00422EF8" w:rsidRDefault="00190AE4" w:rsidP="00C27504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Bez doporučení/p</w:t>
            </w:r>
            <w:r w:rsidRPr="00C27504">
              <w:rPr>
                <w:rFonts w:ascii="Times New Roman" w:hAnsi="Times New Roman" w:cs="Times New Roman"/>
                <w:color w:val="auto"/>
              </w:rPr>
              <w:t>odmín</w:t>
            </w:r>
            <w:r>
              <w:rPr>
                <w:rFonts w:ascii="Times New Roman" w:hAnsi="Times New Roman" w:cs="Times New Roman"/>
                <w:color w:val="auto"/>
              </w:rPr>
              <w:t>ek</w:t>
            </w:r>
            <w:r w:rsidRPr="00C27504">
              <w:rPr>
                <w:rFonts w:ascii="Times New Roman" w:hAnsi="Times New Roman" w:cs="Times New Roman"/>
                <w:color w:val="auto"/>
              </w:rPr>
              <w:t xml:space="preserve"> RSK</w:t>
            </w:r>
          </w:p>
        </w:tc>
      </w:tr>
      <w:tr w:rsidR="00C27504" w:rsidRPr="00422EF8" w14:paraId="138FE8C3" w14:textId="77777777" w:rsidTr="00422EF8">
        <w:trPr>
          <w:trHeight w:val="420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53FA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Karlovarský kraj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7748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Rekonstrukce a modernizace Střední uměleckoprůmyslové školy keramické a sklářské Karlovy Vary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100B6" w14:textId="7B9CDA6C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2EF8">
              <w:rPr>
                <w:rFonts w:ascii="Times New Roman" w:hAnsi="Times New Roman" w:cs="Times New Roman"/>
              </w:rPr>
              <w:t>Posoudit a rozhodnout možnosti dofinancování projektu, a to s ohledem na navýšený rozpočet projektu.</w:t>
            </w:r>
          </w:p>
          <w:p w14:paraId="26653430" w14:textId="77777777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27504" w:rsidRPr="00422EF8" w14:paraId="3BD5E0E0" w14:textId="77777777" w:rsidTr="00422EF8">
        <w:trPr>
          <w:trHeight w:val="485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33B8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Karlovarský kraj 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DA21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Krajský Business Park Sokolov (KBPS)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3078F" w14:textId="60C8047D" w:rsidR="0016262F" w:rsidRPr="00422EF8" w:rsidRDefault="0016262F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Před podáním </w:t>
            </w:r>
            <w:r w:rsidR="003E5AEF">
              <w:rPr>
                <w:rFonts w:ascii="Times New Roman" w:hAnsi="Times New Roman" w:cs="Times New Roman"/>
              </w:rPr>
              <w:t xml:space="preserve">žádosti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do ostré výzvy vyjasnit m</w:t>
            </w:r>
            <w:r w:rsidR="008266FF">
              <w:rPr>
                <w:rFonts w:ascii="Times New Roman" w:hAnsi="Times New Roman" w:cs="Times New Roman"/>
              </w:rPr>
              <w:t>ajetkoprávní vztahy vůči pozemkům</w:t>
            </w:r>
            <w:r>
              <w:rPr>
                <w:rFonts w:ascii="Times New Roman" w:hAnsi="Times New Roman" w:cs="Times New Roman"/>
              </w:rPr>
              <w:t>, na kterých bude probíhat realizace.</w:t>
            </w:r>
          </w:p>
        </w:tc>
      </w:tr>
      <w:tr w:rsidR="00C27504" w:rsidRPr="00422EF8" w14:paraId="658E1DEA" w14:textId="77777777" w:rsidTr="00422EF8">
        <w:trPr>
          <w:trHeight w:val="563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C8D2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Institut lázeňství a balneologie, v. v. i. (</w:t>
            </w:r>
            <w:proofErr w:type="spellStart"/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ILaB</w:t>
            </w:r>
            <w:proofErr w:type="spellEnd"/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D2CA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Centrum lázeňského výzkumu (CLV)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7798F" w14:textId="4B744E2E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2EF8">
              <w:rPr>
                <w:rFonts w:ascii="Times New Roman" w:hAnsi="Times New Roman" w:cs="Times New Roman"/>
              </w:rPr>
              <w:t>RSK podmiňuje realizaci tohoto projektu:</w:t>
            </w:r>
          </w:p>
          <w:p w14:paraId="115F2530" w14:textId="77777777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2EF8">
              <w:rPr>
                <w:rFonts w:ascii="Times New Roman" w:hAnsi="Times New Roman" w:cs="Times New Roman"/>
              </w:rPr>
              <w:t>investice a pracovní místa u projektu Centrum lázeňského výzkumu budou po dobu udržitelnosti realizovány na území Karlovarského kraje</w:t>
            </w:r>
          </w:p>
          <w:p w14:paraId="0A226BCC" w14:textId="77777777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27504" w:rsidRPr="00422EF8" w14:paraId="1E4CF4EB" w14:textId="77777777" w:rsidTr="00422EF8">
        <w:trPr>
          <w:trHeight w:val="563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C789" w14:textId="6AEC1ED9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Sokolovská uhelná, právní nástupce, a.s.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A352" w14:textId="7F686A22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Sokolovská investiční a green </w:t>
            </w:r>
            <w:proofErr w:type="spellStart"/>
            <w:r w:rsidRPr="008821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development</w:t>
            </w:r>
            <w:proofErr w:type="spellEnd"/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33E62" w14:textId="30C95D47" w:rsidR="00012857" w:rsidRPr="00422EF8" w:rsidDel="00422EF8" w:rsidRDefault="0016262F" w:rsidP="0016262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Do doby podání žádosti do ostré výzvy je třeba vyjasnit zařazení lokality Starého Sedla do databáze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brownfieldů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C27504" w:rsidRPr="00422EF8" w14:paraId="5425AD25" w14:textId="77777777" w:rsidTr="00422EF8">
        <w:trPr>
          <w:trHeight w:val="566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8BAD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Česká zemědělská univerzita v Praze (ČZU)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3460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Chytrá krajina 2030+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3407B" w14:textId="47E818BF" w:rsidR="00C27504" w:rsidRPr="00422EF8" w:rsidRDefault="00C27504" w:rsidP="00C27504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422EF8">
              <w:rPr>
                <w:rFonts w:ascii="Times New Roman" w:hAnsi="Times New Roman" w:cs="Times New Roman"/>
              </w:rPr>
              <w:t>RSK podmiňuje realizaci tohoto projektu:</w:t>
            </w:r>
          </w:p>
          <w:p w14:paraId="59EDA751" w14:textId="77777777" w:rsidR="00C27504" w:rsidRPr="00422EF8" w:rsidRDefault="00C27504" w:rsidP="00C27504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422EF8">
              <w:rPr>
                <w:rFonts w:ascii="Times New Roman" w:hAnsi="Times New Roman" w:cs="Times New Roman"/>
              </w:rPr>
              <w:t>investice a pracovní místa u projektu Chytrá krajina 2030+  budou po dobu udržitelnosti realizovány na území Karlovarského kraje</w:t>
            </w:r>
          </w:p>
          <w:p w14:paraId="0D38B934" w14:textId="77777777" w:rsidR="00C27504" w:rsidRPr="00422EF8" w:rsidRDefault="00C27504" w:rsidP="00C2750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27504" w:rsidRPr="00422EF8" w14:paraId="66A23381" w14:textId="77777777" w:rsidTr="00422EF8">
        <w:trPr>
          <w:trHeight w:val="566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D62A" w14:textId="5CFEFF2C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Sokolovská uhelná, právní nástupce, a.s.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C700" w14:textId="3D90210A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21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Udržitelná revitalizace a resocializace lokality Medard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F1841" w14:textId="62C374C7" w:rsidR="00C27504" w:rsidRPr="00422EF8" w:rsidDel="00422EF8" w:rsidRDefault="00190AE4" w:rsidP="00C27504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Bez doporučení/p</w:t>
            </w:r>
            <w:r w:rsidRPr="00C27504">
              <w:rPr>
                <w:rFonts w:ascii="Times New Roman" w:hAnsi="Times New Roman" w:cs="Times New Roman"/>
                <w:color w:val="auto"/>
              </w:rPr>
              <w:t>odmín</w:t>
            </w:r>
            <w:r>
              <w:rPr>
                <w:rFonts w:ascii="Times New Roman" w:hAnsi="Times New Roman" w:cs="Times New Roman"/>
                <w:color w:val="auto"/>
              </w:rPr>
              <w:t>ek</w:t>
            </w:r>
            <w:r w:rsidRPr="00C27504">
              <w:rPr>
                <w:rFonts w:ascii="Times New Roman" w:hAnsi="Times New Roman" w:cs="Times New Roman"/>
                <w:color w:val="auto"/>
              </w:rPr>
              <w:t xml:space="preserve"> RSK</w:t>
            </w:r>
          </w:p>
        </w:tc>
      </w:tr>
      <w:tr w:rsidR="00C27504" w:rsidRPr="00422EF8" w14:paraId="42E0BCD0" w14:textId="77777777" w:rsidTr="00422EF8">
        <w:trPr>
          <w:trHeight w:val="640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598E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Město Boží Dar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72C1" w14:textId="77777777" w:rsidR="00C27504" w:rsidRPr="00422EF8" w:rsidRDefault="00C27504" w:rsidP="00C2750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Regenerace </w:t>
            </w:r>
            <w:proofErr w:type="spellStart"/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brownfieldu</w:t>
            </w:r>
            <w:proofErr w:type="spellEnd"/>
            <w:r w:rsidRPr="00422E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Horský hotel Klínovec a jeho okolí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72B9C" w14:textId="20876683" w:rsidR="00C27504" w:rsidRPr="00422EF8" w:rsidRDefault="001A5B0E" w:rsidP="00C275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U</w:t>
            </w:r>
            <w:r w:rsidR="00C27504" w:rsidRPr="00422EF8">
              <w:rPr>
                <w:rFonts w:ascii="Times New Roman" w:hAnsi="Times New Roman" w:cs="Times New Roman"/>
                <w:color w:val="auto"/>
              </w:rPr>
              <w:t>zavřít dohodu se strategickým partnerem do doby podání žádosti do ostré výzvy OPST</w:t>
            </w:r>
          </w:p>
        </w:tc>
      </w:tr>
    </w:tbl>
    <w:p w14:paraId="42B859CB" w14:textId="77777777" w:rsidR="00422EF8" w:rsidRPr="00422EF8" w:rsidRDefault="00422EF8" w:rsidP="00422EF8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5599F9B" w14:textId="77777777" w:rsidR="00422EF8" w:rsidRPr="00422EF8" w:rsidRDefault="00422EF8" w:rsidP="00422EF8"/>
    <w:p w14:paraId="24DEEFD3" w14:textId="77777777" w:rsidR="00FF2642" w:rsidRDefault="00FF2642" w:rsidP="003A628D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7A34679" w14:textId="77777777" w:rsidR="00FF2642" w:rsidRPr="003A628D" w:rsidRDefault="00FF2642" w:rsidP="003A628D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D35B1C" w14:textId="77777777"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7777777"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33927A1" w14:textId="77777777" w:rsidR="00EB3FAF" w:rsidRPr="001D10A3" w:rsidRDefault="00EB3FAF" w:rsidP="00EB3FAF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212121"/>
          <w:sz w:val="24"/>
        </w:rPr>
        <w:t>Pan Pizinger uvede informace o</w:t>
      </w:r>
      <w:r w:rsidRPr="000306C7">
        <w:rPr>
          <w:rFonts w:ascii="Times New Roman" w:hAnsi="Times New Roman"/>
          <w:sz w:val="24"/>
        </w:rPr>
        <w:t xml:space="preserve"> dalším směřování strategických projektů „Krajská kulturní a</w:t>
      </w:r>
      <w:r>
        <w:rPr>
          <w:rFonts w:ascii="Times New Roman" w:hAnsi="Times New Roman"/>
          <w:sz w:val="24"/>
        </w:rPr>
        <w:t> </w:t>
      </w:r>
      <w:r w:rsidRPr="000306C7">
        <w:rPr>
          <w:rFonts w:ascii="Times New Roman" w:hAnsi="Times New Roman"/>
          <w:sz w:val="24"/>
        </w:rPr>
        <w:t xml:space="preserve">kreativní kancelář - 4K“ a „Agentura pro transformaci Karlovarského kraje“, neboť Karlovarský kraj obdržel na zvážení doporučení expertní komise OPST k těmto dvěma projektům, zda by nebylo smysluplné a nákladově efektivní propojení obou projektů, </w:t>
      </w:r>
      <w:r>
        <w:rPr>
          <w:rFonts w:ascii="Times New Roman" w:hAnsi="Times New Roman"/>
          <w:sz w:val="24"/>
        </w:rPr>
        <w:br/>
      </w:r>
      <w:r w:rsidRPr="000306C7">
        <w:rPr>
          <w:rFonts w:ascii="Times New Roman" w:hAnsi="Times New Roman"/>
          <w:sz w:val="24"/>
        </w:rPr>
        <w:t xml:space="preserve">příp. propojení s ostatními projekty podobného rázu v Karlovarském kraji. </w:t>
      </w:r>
      <w:r>
        <w:rPr>
          <w:rFonts w:ascii="Times New Roman" w:hAnsi="Times New Roman"/>
          <w:sz w:val="24"/>
        </w:rPr>
        <w:t xml:space="preserve">K tomuto přijala </w:t>
      </w:r>
      <w:r w:rsidRPr="00395060">
        <w:rPr>
          <w:rFonts w:ascii="Times New Roman" w:hAnsi="Times New Roman"/>
          <w:b/>
          <w:sz w:val="24"/>
        </w:rPr>
        <w:t xml:space="preserve">Komise Rady Karlovarského kraje pro transformaci regionu, Fond spravedlivé transformace a energetiku </w:t>
      </w:r>
      <w:r>
        <w:rPr>
          <w:rFonts w:ascii="Times New Roman" w:hAnsi="Times New Roman"/>
          <w:b/>
          <w:sz w:val="24"/>
        </w:rPr>
        <w:t xml:space="preserve">dne 9.8.2022 souhlasné stanovisko (číslo usnesení 4/8/2022), </w:t>
      </w:r>
      <w:r w:rsidRPr="00EB3FAF">
        <w:rPr>
          <w:rFonts w:ascii="Times New Roman" w:hAnsi="Times New Roman"/>
          <w:sz w:val="24"/>
        </w:rPr>
        <w:t>kdy dojde ke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Cs/>
          <w:sz w:val="24"/>
        </w:rPr>
        <w:t>stažení</w:t>
      </w:r>
      <w:r w:rsidRPr="00EB3FAF">
        <w:rPr>
          <w:rFonts w:ascii="Times New Roman" w:hAnsi="Times New Roman"/>
          <w:iCs/>
          <w:sz w:val="24"/>
        </w:rPr>
        <w:t xml:space="preserve"> projektu „Agentura pro transformaci Karlovarského kraje“ ze seznamu </w:t>
      </w:r>
      <w:r w:rsidRPr="007446A8">
        <w:rPr>
          <w:rFonts w:ascii="Times New Roman" w:hAnsi="Times New Roman" w:cs="Times New Roman"/>
          <w:iCs/>
          <w:sz w:val="24"/>
          <w:szCs w:val="24"/>
        </w:rPr>
        <w:t>strategických projektů Operačního programu Spravedlivá transformace s tím, že aktivity původně plánované v daném projektu budou realizovány v rámci stávajících implementačních a organizační</w:t>
      </w:r>
      <w:r w:rsidR="008D3F19" w:rsidRPr="007446A8">
        <w:rPr>
          <w:rFonts w:ascii="Times New Roman" w:hAnsi="Times New Roman" w:cs="Times New Roman"/>
          <w:iCs/>
          <w:sz w:val="24"/>
          <w:szCs w:val="24"/>
        </w:rPr>
        <w:t>ch struktur Karlovarského kraje.</w:t>
      </w:r>
      <w:r w:rsidR="001D10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D10A3" w:rsidRPr="001D10A3">
        <w:rPr>
          <w:rFonts w:ascii="Times New Roman" w:hAnsi="Times New Roman" w:cs="Times New Roman"/>
          <w:sz w:val="24"/>
          <w:szCs w:val="24"/>
        </w:rPr>
        <w:t>Dané aktivity jsou a budou i v mnohém pokrývány jinými EU finančními zdroji než je OPST (např. projekty Smart Akcelerátor 2 a 3, Národní plán obnovy, tematické výzvy OPST apod.). Za určitých podmínek je tedy možné tyto aktivity rozvíjet a rozšiřovat, ovšem primárně u dosavadních kompetentních subjektů.</w:t>
      </w:r>
    </w:p>
    <w:p w14:paraId="62B20495" w14:textId="77777777" w:rsidR="00C01981" w:rsidRPr="007446A8" w:rsidRDefault="008D3F19" w:rsidP="00F857F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6A8">
        <w:rPr>
          <w:rFonts w:ascii="Times New Roman" w:hAnsi="Times New Roman" w:cs="Times New Roman"/>
          <w:sz w:val="24"/>
          <w:szCs w:val="24"/>
        </w:rPr>
        <w:t>Nadále</w:t>
      </w:r>
      <w:r w:rsidR="00EB3FAF" w:rsidRPr="007446A8">
        <w:rPr>
          <w:rFonts w:ascii="Times New Roman" w:hAnsi="Times New Roman" w:cs="Times New Roman"/>
          <w:sz w:val="24"/>
          <w:szCs w:val="24"/>
        </w:rPr>
        <w:t xml:space="preserve"> bude připravován projekt „Krajská kulturní a kreativní kancelář - 4K“  jako strategický projekt </w:t>
      </w:r>
      <w:r w:rsidR="00EB3FAF" w:rsidRPr="007446A8">
        <w:rPr>
          <w:rFonts w:ascii="Times New Roman" w:hAnsi="Times New Roman" w:cs="Times New Roman"/>
          <w:iCs/>
          <w:sz w:val="24"/>
          <w:szCs w:val="24"/>
        </w:rPr>
        <w:t>Operačního programu Spravedlivá transformace</w:t>
      </w:r>
      <w:r w:rsidR="00EB3FAF" w:rsidRPr="007446A8">
        <w:rPr>
          <w:rFonts w:ascii="Times New Roman" w:hAnsi="Times New Roman" w:cs="Times New Roman"/>
          <w:sz w:val="24"/>
          <w:szCs w:val="24"/>
        </w:rPr>
        <w:t xml:space="preserve">, s možností koordinace území a dílčích doplnění/ úprav ve vazbě na stažení projektu </w:t>
      </w:r>
      <w:r w:rsidR="00EB3FAF" w:rsidRPr="007446A8">
        <w:rPr>
          <w:rFonts w:ascii="Times New Roman" w:hAnsi="Times New Roman" w:cs="Times New Roman"/>
          <w:iCs/>
          <w:sz w:val="24"/>
          <w:szCs w:val="24"/>
        </w:rPr>
        <w:t xml:space="preserve">„Agentura pro transformaci Karlovarského kraje“. </w:t>
      </w:r>
      <w:r w:rsidR="00EB3FAF" w:rsidRPr="007446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6B1B3" w14:textId="57D2F275" w:rsidR="007446A8" w:rsidRPr="007446A8" w:rsidRDefault="00EF58B8" w:rsidP="007446A8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A8">
        <w:rPr>
          <w:rFonts w:ascii="Times New Roman" w:hAnsi="Times New Roman" w:cs="Times New Roman"/>
          <w:color w:val="auto"/>
          <w:sz w:val="24"/>
          <w:szCs w:val="24"/>
        </w:rPr>
        <w:t>Materiál do Rady KK byl</w:t>
      </w:r>
      <w:r w:rsidR="00EB3FAF" w:rsidRPr="007446A8">
        <w:rPr>
          <w:rFonts w:ascii="Times New Roman" w:hAnsi="Times New Roman" w:cs="Times New Roman"/>
          <w:color w:val="auto"/>
          <w:sz w:val="24"/>
          <w:szCs w:val="24"/>
        </w:rPr>
        <w:t xml:space="preserve"> předložen dne 22.8.2022</w:t>
      </w:r>
      <w:r w:rsidRPr="007446A8">
        <w:rPr>
          <w:rFonts w:ascii="Times New Roman" w:hAnsi="Times New Roman" w:cs="Times New Roman"/>
          <w:color w:val="auto"/>
          <w:sz w:val="24"/>
          <w:szCs w:val="24"/>
        </w:rPr>
        <w:t>, číslo usnesení</w:t>
      </w:r>
      <w:r w:rsidR="00730CAB" w:rsidRPr="007446A8">
        <w:rPr>
          <w:rFonts w:ascii="Times New Roman" w:hAnsi="Times New Roman" w:cs="Times New Roman"/>
          <w:color w:val="auto"/>
          <w:sz w:val="24"/>
          <w:szCs w:val="24"/>
        </w:rPr>
        <w:t xml:space="preserve"> RK 947/08/22</w:t>
      </w:r>
      <w:r w:rsidRPr="007446A8">
        <w:rPr>
          <w:rFonts w:ascii="Times New Roman" w:hAnsi="Times New Roman" w:cs="Times New Roman"/>
          <w:color w:val="auto"/>
          <w:sz w:val="24"/>
          <w:szCs w:val="24"/>
        </w:rPr>
        <w:t>, kdy RKK potvrdila stanovisko Komise a souhlasila se stažením projektu Agentura pro transformaci Karlovarského kraje.</w:t>
      </w:r>
      <w:r w:rsidR="00EB3FAF" w:rsidRPr="007446A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446A8">
        <w:rPr>
          <w:rFonts w:ascii="Times New Roman" w:hAnsi="Times New Roman" w:cs="Times New Roman"/>
          <w:sz w:val="24"/>
          <w:szCs w:val="24"/>
        </w:rPr>
        <w:t>N</w:t>
      </w:r>
      <w:r w:rsidR="007446A8" w:rsidRPr="007446A8">
        <w:rPr>
          <w:rFonts w:ascii="Times New Roman" w:hAnsi="Times New Roman" w:cs="Times New Roman"/>
          <w:sz w:val="24"/>
          <w:szCs w:val="24"/>
        </w:rPr>
        <w:t xml:space="preserve">ásledně </w:t>
      </w:r>
      <w:r w:rsidR="00265F8B" w:rsidRPr="007446A8">
        <w:rPr>
          <w:rFonts w:ascii="Times New Roman" w:hAnsi="Times New Roman" w:cs="Times New Roman"/>
          <w:sz w:val="24"/>
          <w:szCs w:val="24"/>
        </w:rPr>
        <w:t>byl projednán</w:t>
      </w:r>
      <w:r w:rsidR="007446A8" w:rsidRPr="007446A8">
        <w:rPr>
          <w:rFonts w:ascii="Times New Roman" w:hAnsi="Times New Roman" w:cs="Times New Roman"/>
          <w:sz w:val="24"/>
          <w:szCs w:val="24"/>
        </w:rPr>
        <w:t xml:space="preserve"> i v Zastupitelstvu Karlovarského kraje.</w:t>
      </w:r>
    </w:p>
    <w:p w14:paraId="18BC1D9C" w14:textId="77777777" w:rsidR="00F857FB" w:rsidRPr="007446A8" w:rsidRDefault="00F857FB" w:rsidP="00546DA2">
      <w:pPr>
        <w:pStyle w:val="Default"/>
        <w:jc w:val="both"/>
        <w:rPr>
          <w:color w:val="auto"/>
        </w:rPr>
      </w:pPr>
    </w:p>
    <w:p w14:paraId="03C8ADA3" w14:textId="77777777" w:rsidR="00EB3FAF" w:rsidRPr="008D3F19" w:rsidRDefault="008D3F19" w:rsidP="00546DA2">
      <w:pPr>
        <w:pStyle w:val="Default"/>
        <w:jc w:val="both"/>
      </w:pPr>
      <w:r w:rsidRPr="008D3F19">
        <w:t>Pan Patrik Pizinger dále seznámí členy RSK a zvolené zástupce RHSD se zapojením RSK do posuzování strategických projektů OPST</w:t>
      </w:r>
      <w:r w:rsidR="0015141B">
        <w:t xml:space="preserve"> (návaznost na schůzku </w:t>
      </w:r>
      <w:r w:rsidR="007446A8">
        <w:t xml:space="preserve">ze </w:t>
      </w:r>
      <w:r w:rsidR="0015141B">
        <w:t>dne 30.8.2022)</w:t>
      </w:r>
      <w:r w:rsidRPr="008D3F19">
        <w:t>.</w:t>
      </w:r>
      <w:r w:rsidR="002B33EF">
        <w:t xml:space="preserve"> Následně dojde ke schválení odpovědí na průřezové otázky položených Státním fondem životního prostředí ČR k systému nastavení podmínek pro strategické projekty OPST ze strany RSK KVK.</w:t>
      </w:r>
    </w:p>
    <w:p w14:paraId="44B9F006" w14:textId="77777777" w:rsidR="00EB3FAF" w:rsidRDefault="00EB3FAF" w:rsidP="00546DA2">
      <w:pPr>
        <w:pStyle w:val="Default"/>
        <w:jc w:val="both"/>
        <w:rPr>
          <w:b/>
          <w:u w:val="single"/>
        </w:rPr>
      </w:pPr>
    </w:p>
    <w:p w14:paraId="2C39FDA8" w14:textId="77777777" w:rsidR="00F857FB" w:rsidRDefault="00F857FB" w:rsidP="00546DA2">
      <w:pPr>
        <w:pStyle w:val="Default"/>
        <w:jc w:val="both"/>
        <w:rPr>
          <w:b/>
          <w:u w:val="single"/>
        </w:rPr>
      </w:pPr>
    </w:p>
    <w:p w14:paraId="47C4E9F3" w14:textId="77777777" w:rsidR="008D3F19" w:rsidRDefault="008D3F19" w:rsidP="00546DA2">
      <w:pPr>
        <w:pStyle w:val="Default"/>
        <w:jc w:val="both"/>
        <w:rPr>
          <w:b/>
          <w:u w:val="single"/>
        </w:rPr>
      </w:pPr>
    </w:p>
    <w:p w14:paraId="684FF9E6" w14:textId="77777777" w:rsidR="00683694" w:rsidRDefault="00683694" w:rsidP="00546DA2">
      <w:pPr>
        <w:pStyle w:val="Default"/>
        <w:jc w:val="both"/>
        <w:rPr>
          <w:b/>
          <w:u w:val="single"/>
        </w:rPr>
      </w:pPr>
    </w:p>
    <w:p w14:paraId="5F32D89A" w14:textId="77777777" w:rsidR="00683694" w:rsidRDefault="00683694" w:rsidP="00546DA2">
      <w:pPr>
        <w:pStyle w:val="Default"/>
        <w:jc w:val="both"/>
        <w:rPr>
          <w:b/>
          <w:u w:val="single"/>
        </w:rPr>
      </w:pPr>
    </w:p>
    <w:p w14:paraId="3CAC62F0" w14:textId="77777777" w:rsidR="007E05AC" w:rsidRDefault="002C7825" w:rsidP="00546DA2">
      <w:pPr>
        <w:pStyle w:val="Default"/>
        <w:jc w:val="both"/>
        <w:rPr>
          <w:b/>
          <w:u w:val="single"/>
        </w:rPr>
      </w:pPr>
      <w:r w:rsidRPr="00C63F4F">
        <w:rPr>
          <w:b/>
          <w:u w:val="single"/>
        </w:rPr>
        <w:t>Příloha:</w:t>
      </w:r>
    </w:p>
    <w:p w14:paraId="3C5C669B" w14:textId="77777777" w:rsidR="00702A27" w:rsidRDefault="00C25849" w:rsidP="00C25849">
      <w:pPr>
        <w:pStyle w:val="Default"/>
        <w:jc w:val="both"/>
      </w:pPr>
      <w:r w:rsidRPr="00C25849">
        <w:t>B5_Zapojení RSK do posuzování strategických projektů OPST</w:t>
      </w:r>
    </w:p>
    <w:p w14:paraId="3FD924D8" w14:textId="77777777" w:rsidR="00683694" w:rsidRDefault="00683694" w:rsidP="00C25849">
      <w:pPr>
        <w:pStyle w:val="Default"/>
        <w:jc w:val="both"/>
      </w:pPr>
      <w:r w:rsidRPr="00683694">
        <w:t>B5_Dotazníky ke strategickým projektům</w:t>
      </w:r>
    </w:p>
    <w:p w14:paraId="086758D3" w14:textId="77777777" w:rsidR="00683694" w:rsidRDefault="00683694" w:rsidP="00C25849">
      <w:pPr>
        <w:pStyle w:val="Default"/>
        <w:jc w:val="both"/>
      </w:pPr>
      <w:r w:rsidRPr="00683694">
        <w:t>B5_Stanoviska SFŽP_SP</w:t>
      </w:r>
    </w:p>
    <w:p w14:paraId="7FC74EC5" w14:textId="77777777" w:rsidR="00683694" w:rsidRDefault="00683694" w:rsidP="00C25849">
      <w:pPr>
        <w:pStyle w:val="Default"/>
        <w:jc w:val="both"/>
      </w:pPr>
      <w:r w:rsidRPr="00683694">
        <w:t>B5_Odpovědi ke stanoviskům od nositelů strategických projektů</w:t>
      </w:r>
    </w:p>
    <w:p w14:paraId="1C25DDA5" w14:textId="77777777" w:rsidR="003F3642" w:rsidRDefault="003F3642" w:rsidP="00C25849">
      <w:pPr>
        <w:pStyle w:val="Default"/>
        <w:jc w:val="both"/>
      </w:pPr>
      <w:r w:rsidRPr="003F3642">
        <w:t>B5_vnitrni_sdeleni_Stazeni TA</w:t>
      </w:r>
    </w:p>
    <w:p w14:paraId="73B4C301" w14:textId="77777777" w:rsidR="00CA3CC3" w:rsidRDefault="00CA3CC3" w:rsidP="00C25849">
      <w:pPr>
        <w:pStyle w:val="Default"/>
        <w:jc w:val="both"/>
      </w:pPr>
      <w:r w:rsidRPr="00CA3CC3">
        <w:t>B5_2022_08_30_RSK_horizontální_témata_strategické_projekty</w:t>
      </w:r>
    </w:p>
    <w:p w14:paraId="78A9E2D0" w14:textId="77777777" w:rsidR="00CA3CC3" w:rsidRPr="00702A27" w:rsidRDefault="00CA3CC3" w:rsidP="00C25849">
      <w:pPr>
        <w:pStyle w:val="Default"/>
        <w:jc w:val="both"/>
      </w:pPr>
      <w:r w:rsidRPr="00CA3CC3">
        <w:t>B5_2022_08_30_RSK_Příloha_č.1_horizontální_otázky_strategické_projekty_KVK</w:t>
      </w:r>
    </w:p>
    <w:sectPr w:rsidR="00CA3CC3" w:rsidRPr="00702A27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7561A0" w16cid:durableId="26CA01E2"/>
  <w16cid:commentId w16cid:paraId="755B40D8" w16cid:durableId="26C9FF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9B09A" w14:textId="77777777" w:rsidR="00CB33A5" w:rsidRDefault="00CB33A5">
      <w:pPr>
        <w:spacing w:line="240" w:lineRule="auto"/>
      </w:pPr>
      <w:r>
        <w:separator/>
      </w:r>
    </w:p>
  </w:endnote>
  <w:endnote w:type="continuationSeparator" w:id="0">
    <w:p w14:paraId="07100B06" w14:textId="77777777"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0A8CD" w14:textId="77777777" w:rsidR="00CB33A5" w:rsidRDefault="00CB33A5">
      <w:pPr>
        <w:spacing w:line="240" w:lineRule="auto"/>
      </w:pPr>
      <w:r>
        <w:separator/>
      </w:r>
    </w:p>
  </w:footnote>
  <w:footnote w:type="continuationSeparator" w:id="0">
    <w:p w14:paraId="12BBF59E" w14:textId="77777777"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54E08EE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30"/>
  </w:num>
  <w:num w:numId="4">
    <w:abstractNumId w:val="18"/>
  </w:num>
  <w:num w:numId="5">
    <w:abstractNumId w:val="23"/>
  </w:num>
  <w:num w:numId="6">
    <w:abstractNumId w:val="28"/>
  </w:num>
  <w:num w:numId="7">
    <w:abstractNumId w:val="26"/>
  </w:num>
  <w:num w:numId="8">
    <w:abstractNumId w:val="11"/>
  </w:num>
  <w:num w:numId="9">
    <w:abstractNumId w:val="2"/>
  </w:num>
  <w:num w:numId="10">
    <w:abstractNumId w:val="27"/>
  </w:num>
  <w:num w:numId="11">
    <w:abstractNumId w:val="9"/>
  </w:num>
  <w:num w:numId="12">
    <w:abstractNumId w:val="15"/>
  </w:num>
  <w:num w:numId="13">
    <w:abstractNumId w:val="20"/>
  </w:num>
  <w:num w:numId="14">
    <w:abstractNumId w:val="8"/>
  </w:num>
  <w:num w:numId="15">
    <w:abstractNumId w:val="12"/>
  </w:num>
  <w:num w:numId="16">
    <w:abstractNumId w:val="16"/>
  </w:num>
  <w:num w:numId="17">
    <w:abstractNumId w:val="6"/>
  </w:num>
  <w:num w:numId="18">
    <w:abstractNumId w:val="4"/>
  </w:num>
  <w:num w:numId="19">
    <w:abstractNumId w:val="5"/>
  </w:num>
  <w:num w:numId="20">
    <w:abstractNumId w:val="29"/>
  </w:num>
  <w:num w:numId="21">
    <w:abstractNumId w:val="24"/>
  </w:num>
  <w:num w:numId="22">
    <w:abstractNumId w:val="24"/>
  </w:num>
  <w:num w:numId="23">
    <w:abstractNumId w:val="24"/>
  </w:num>
  <w:num w:numId="24">
    <w:abstractNumId w:val="25"/>
  </w:num>
  <w:num w:numId="25">
    <w:abstractNumId w:val="7"/>
  </w:num>
  <w:num w:numId="26">
    <w:abstractNumId w:val="5"/>
  </w:num>
  <w:num w:numId="27">
    <w:abstractNumId w:val="31"/>
  </w:num>
  <w:num w:numId="28">
    <w:abstractNumId w:val="0"/>
  </w:num>
  <w:num w:numId="29">
    <w:abstractNumId w:val="22"/>
  </w:num>
  <w:num w:numId="30">
    <w:abstractNumId w:val="10"/>
  </w:num>
  <w:num w:numId="31">
    <w:abstractNumId w:val="13"/>
  </w:num>
  <w:num w:numId="32">
    <w:abstractNumId w:val="19"/>
  </w:num>
  <w:num w:numId="33">
    <w:abstractNumId w:val="14"/>
  </w:num>
  <w:num w:numId="34">
    <w:abstractNumId w:val="17"/>
  </w:num>
  <w:num w:numId="35">
    <w:abstractNumId w:val="32"/>
  </w:num>
  <w:num w:numId="36">
    <w:abstractNumId w:val="13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7A4F"/>
    <w:rsid w:val="00083E39"/>
    <w:rsid w:val="000935C6"/>
    <w:rsid w:val="00095A42"/>
    <w:rsid w:val="000B5EC2"/>
    <w:rsid w:val="000C5529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62F"/>
    <w:rsid w:val="001671B9"/>
    <w:rsid w:val="00177D15"/>
    <w:rsid w:val="00181F2D"/>
    <w:rsid w:val="00184486"/>
    <w:rsid w:val="001875C0"/>
    <w:rsid w:val="00190AE4"/>
    <w:rsid w:val="00197A69"/>
    <w:rsid w:val="001A5B0E"/>
    <w:rsid w:val="001B588A"/>
    <w:rsid w:val="001C4B96"/>
    <w:rsid w:val="001D10A3"/>
    <w:rsid w:val="001E3B0D"/>
    <w:rsid w:val="001F5B82"/>
    <w:rsid w:val="00212491"/>
    <w:rsid w:val="00216D85"/>
    <w:rsid w:val="00217A30"/>
    <w:rsid w:val="00217DD2"/>
    <w:rsid w:val="002357ED"/>
    <w:rsid w:val="00236E1A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22EF8"/>
    <w:rsid w:val="004275A8"/>
    <w:rsid w:val="00435108"/>
    <w:rsid w:val="00442196"/>
    <w:rsid w:val="004447BF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C581E"/>
    <w:rsid w:val="007E05AC"/>
    <w:rsid w:val="007E3563"/>
    <w:rsid w:val="007F3B8A"/>
    <w:rsid w:val="007F3CFE"/>
    <w:rsid w:val="007F71D6"/>
    <w:rsid w:val="0080050C"/>
    <w:rsid w:val="008154F6"/>
    <w:rsid w:val="00821BF7"/>
    <w:rsid w:val="00824AB3"/>
    <w:rsid w:val="008266FF"/>
    <w:rsid w:val="00826A2D"/>
    <w:rsid w:val="0083070B"/>
    <w:rsid w:val="00843CEA"/>
    <w:rsid w:val="00844C52"/>
    <w:rsid w:val="00856396"/>
    <w:rsid w:val="0085762A"/>
    <w:rsid w:val="00866E33"/>
    <w:rsid w:val="0087284B"/>
    <w:rsid w:val="008821D1"/>
    <w:rsid w:val="00883955"/>
    <w:rsid w:val="008925D4"/>
    <w:rsid w:val="008A55BB"/>
    <w:rsid w:val="008A602E"/>
    <w:rsid w:val="008B4501"/>
    <w:rsid w:val="008C34EB"/>
    <w:rsid w:val="008D3F19"/>
    <w:rsid w:val="008D5C04"/>
    <w:rsid w:val="009013A0"/>
    <w:rsid w:val="00904079"/>
    <w:rsid w:val="0091610F"/>
    <w:rsid w:val="00924585"/>
    <w:rsid w:val="00940335"/>
    <w:rsid w:val="00955933"/>
    <w:rsid w:val="00961F8D"/>
    <w:rsid w:val="00964736"/>
    <w:rsid w:val="00970553"/>
    <w:rsid w:val="00980E11"/>
    <w:rsid w:val="00996FD6"/>
    <w:rsid w:val="00997992"/>
    <w:rsid w:val="009A0A97"/>
    <w:rsid w:val="009A5CC0"/>
    <w:rsid w:val="009D20FD"/>
    <w:rsid w:val="009F1873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6D16"/>
    <w:rsid w:val="00AE2490"/>
    <w:rsid w:val="00AE7EC7"/>
    <w:rsid w:val="00AF3840"/>
    <w:rsid w:val="00AF7EBA"/>
    <w:rsid w:val="00B0470A"/>
    <w:rsid w:val="00B12E86"/>
    <w:rsid w:val="00B12F57"/>
    <w:rsid w:val="00B16CA7"/>
    <w:rsid w:val="00B2035E"/>
    <w:rsid w:val="00B33E82"/>
    <w:rsid w:val="00B340E8"/>
    <w:rsid w:val="00B34B2D"/>
    <w:rsid w:val="00B411B2"/>
    <w:rsid w:val="00B430D6"/>
    <w:rsid w:val="00B43AD7"/>
    <w:rsid w:val="00B5462B"/>
    <w:rsid w:val="00B56D75"/>
    <w:rsid w:val="00B63D08"/>
    <w:rsid w:val="00B66642"/>
    <w:rsid w:val="00B804DF"/>
    <w:rsid w:val="00B80EF7"/>
    <w:rsid w:val="00B83304"/>
    <w:rsid w:val="00B84682"/>
    <w:rsid w:val="00B94B6A"/>
    <w:rsid w:val="00B95520"/>
    <w:rsid w:val="00BA1502"/>
    <w:rsid w:val="00BA387F"/>
    <w:rsid w:val="00BB0A08"/>
    <w:rsid w:val="00BB5E85"/>
    <w:rsid w:val="00BB701F"/>
    <w:rsid w:val="00BC2A66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F71"/>
    <w:rsid w:val="00C31D4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2D12"/>
    <w:rsid w:val="00CF4C89"/>
    <w:rsid w:val="00D064CA"/>
    <w:rsid w:val="00D222B1"/>
    <w:rsid w:val="00D26726"/>
    <w:rsid w:val="00D4324F"/>
    <w:rsid w:val="00D4611B"/>
    <w:rsid w:val="00D46E2C"/>
    <w:rsid w:val="00D52189"/>
    <w:rsid w:val="00D8618F"/>
    <w:rsid w:val="00D91577"/>
    <w:rsid w:val="00DA0A2D"/>
    <w:rsid w:val="00DB1E84"/>
    <w:rsid w:val="00DB608E"/>
    <w:rsid w:val="00DD4339"/>
    <w:rsid w:val="00DD43F5"/>
    <w:rsid w:val="00DE54BE"/>
    <w:rsid w:val="00DF30F6"/>
    <w:rsid w:val="00DF6477"/>
    <w:rsid w:val="00E12DD3"/>
    <w:rsid w:val="00E1554D"/>
    <w:rsid w:val="00E16384"/>
    <w:rsid w:val="00E43F6D"/>
    <w:rsid w:val="00E53129"/>
    <w:rsid w:val="00E817EB"/>
    <w:rsid w:val="00E82244"/>
    <w:rsid w:val="00EB3FAF"/>
    <w:rsid w:val="00EB52FD"/>
    <w:rsid w:val="00EE1B8B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BAF95-4910-4C35-89C4-1836EF6F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Hrdinová Eva</cp:lastModifiedBy>
  <cp:revision>7</cp:revision>
  <cp:lastPrinted>2019-03-15T15:13:00Z</cp:lastPrinted>
  <dcterms:created xsi:type="dcterms:W3CDTF">2022-09-13T05:25:00Z</dcterms:created>
  <dcterms:modified xsi:type="dcterms:W3CDTF">2022-09-13T06:29:00Z</dcterms:modified>
</cp:coreProperties>
</file>