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FD53CF">
        <w:rPr>
          <w:rFonts w:ascii="Times New Roman" w:eastAsia="Times New Roman" w:hAnsi="Times New Roman" w:cs="Times New Roman"/>
          <w:b/>
          <w:sz w:val="28"/>
        </w:rPr>
        <w:t>24</w:t>
      </w:r>
    </w:p>
    <w:p w:rsidR="000461FD" w:rsidRDefault="000461FD">
      <w:pPr>
        <w:spacing w:line="240" w:lineRule="auto"/>
        <w:rPr>
          <w:rFonts w:ascii="Times New Roman" w:eastAsia="Times New Roman" w:hAnsi="Times New Roman" w:cs="Times New Roman"/>
          <w:b/>
          <w:sz w:val="28"/>
        </w:rPr>
      </w:pPr>
    </w:p>
    <w:p w:rsidR="006015F9" w:rsidRPr="00A022D3" w:rsidRDefault="000461FD"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Konané dne:</w:t>
      </w:r>
      <w:r w:rsidRPr="00A022D3">
        <w:rPr>
          <w:rFonts w:ascii="Times New Roman" w:eastAsia="Times New Roman" w:hAnsi="Times New Roman" w:cs="Times New Roman"/>
          <w:b/>
          <w:sz w:val="28"/>
        </w:rPr>
        <w:tab/>
      </w:r>
      <w:r w:rsidR="00FD53CF">
        <w:rPr>
          <w:rFonts w:ascii="Times New Roman" w:eastAsia="Times New Roman" w:hAnsi="Times New Roman" w:cs="Times New Roman"/>
          <w:sz w:val="28"/>
        </w:rPr>
        <w:t>19</w:t>
      </w:r>
      <w:r w:rsidR="00371183">
        <w:rPr>
          <w:rFonts w:ascii="Times New Roman" w:eastAsia="Times New Roman" w:hAnsi="Times New Roman" w:cs="Times New Roman"/>
          <w:sz w:val="28"/>
        </w:rPr>
        <w:t>.</w:t>
      </w:r>
      <w:r w:rsidR="000B415B">
        <w:rPr>
          <w:rFonts w:ascii="Times New Roman" w:eastAsia="Times New Roman" w:hAnsi="Times New Roman" w:cs="Times New Roman"/>
          <w:sz w:val="28"/>
        </w:rPr>
        <w:t>0</w:t>
      </w:r>
      <w:r w:rsidR="00FD53CF">
        <w:rPr>
          <w:rFonts w:ascii="Times New Roman" w:eastAsia="Times New Roman" w:hAnsi="Times New Roman" w:cs="Times New Roman"/>
          <w:sz w:val="28"/>
        </w:rPr>
        <w:t>9</w:t>
      </w:r>
      <w:r w:rsidR="00371183">
        <w:rPr>
          <w:rFonts w:ascii="Times New Roman" w:eastAsia="Times New Roman" w:hAnsi="Times New Roman" w:cs="Times New Roman"/>
          <w:sz w:val="28"/>
        </w:rPr>
        <w:t>.2022</w:t>
      </w:r>
    </w:p>
    <w:p w:rsidR="00F31172" w:rsidRPr="00A022D3" w:rsidRDefault="00F31172" w:rsidP="006B7C5F">
      <w:pPr>
        <w:spacing w:line="240" w:lineRule="auto"/>
        <w:rPr>
          <w:rFonts w:ascii="Times New Roman" w:eastAsia="Times New Roman" w:hAnsi="Times New Roman" w:cs="Times New Roman"/>
          <w:sz w:val="28"/>
        </w:rPr>
      </w:pPr>
    </w:p>
    <w:p w:rsidR="000461FD" w:rsidRPr="00A022D3" w:rsidRDefault="00F31172"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Bod jednání:</w:t>
      </w:r>
      <w:r w:rsidRPr="00A022D3">
        <w:rPr>
          <w:rFonts w:ascii="Times New Roman" w:eastAsia="Times New Roman" w:hAnsi="Times New Roman" w:cs="Times New Roman"/>
          <w:sz w:val="28"/>
        </w:rPr>
        <w:tab/>
      </w:r>
      <w:r w:rsidR="00FD53CF">
        <w:rPr>
          <w:rFonts w:ascii="Times New Roman" w:eastAsia="Times New Roman" w:hAnsi="Times New Roman" w:cs="Times New Roman"/>
          <w:sz w:val="28"/>
        </w:rPr>
        <w:t>4</w:t>
      </w:r>
    </w:p>
    <w:p w:rsidR="008D5C04" w:rsidRPr="00A022D3" w:rsidRDefault="008D5C04" w:rsidP="006B7C5F">
      <w:pPr>
        <w:spacing w:line="240" w:lineRule="auto"/>
        <w:rPr>
          <w:rFonts w:ascii="Times New Roman" w:eastAsia="Times New Roman" w:hAnsi="Times New Roman" w:cs="Times New Roman"/>
          <w:sz w:val="28"/>
        </w:rPr>
      </w:pPr>
    </w:p>
    <w:p w:rsidR="00B61D00" w:rsidRDefault="000461FD" w:rsidP="00DB34FF">
      <w:pPr>
        <w:spacing w:line="240" w:lineRule="auto"/>
        <w:ind w:left="2160" w:hanging="2160"/>
        <w:jc w:val="both"/>
        <w:rPr>
          <w:rFonts w:ascii="Times New Roman" w:eastAsia="Times New Roman" w:hAnsi="Times New Roman" w:cs="Times New Roman"/>
          <w:sz w:val="28"/>
        </w:rPr>
      </w:pPr>
      <w:r w:rsidRPr="00A022D3">
        <w:rPr>
          <w:rFonts w:ascii="Times New Roman" w:eastAsia="Times New Roman" w:hAnsi="Times New Roman" w:cs="Times New Roman"/>
          <w:b/>
          <w:sz w:val="28"/>
        </w:rPr>
        <w:t>Předmět jednání:</w:t>
      </w:r>
      <w:r w:rsidRPr="00A022D3">
        <w:rPr>
          <w:rFonts w:ascii="Times New Roman" w:eastAsia="Times New Roman" w:hAnsi="Times New Roman" w:cs="Times New Roman"/>
          <w:sz w:val="28"/>
        </w:rPr>
        <w:tab/>
      </w:r>
      <w:r w:rsidR="00B61D00" w:rsidRPr="00B61D00">
        <w:rPr>
          <w:rFonts w:ascii="Times New Roman" w:eastAsia="Times New Roman" w:hAnsi="Times New Roman" w:cs="Times New Roman"/>
          <w:sz w:val="28"/>
        </w:rPr>
        <w:t xml:space="preserve">Aktuální informace </w:t>
      </w:r>
      <w:r w:rsidR="00B61D00">
        <w:rPr>
          <w:rFonts w:ascii="Times New Roman" w:eastAsia="Times New Roman" w:hAnsi="Times New Roman" w:cs="Times New Roman"/>
          <w:sz w:val="28"/>
        </w:rPr>
        <w:t xml:space="preserve">k </w:t>
      </w:r>
      <w:r w:rsidR="00B61D00" w:rsidRPr="00B61D00">
        <w:rPr>
          <w:rFonts w:ascii="Times New Roman" w:eastAsia="Times New Roman" w:hAnsi="Times New Roman" w:cs="Times New Roman"/>
          <w:sz w:val="28"/>
        </w:rPr>
        <w:t>Operační</w:t>
      </w:r>
      <w:r w:rsidR="00B61D00">
        <w:rPr>
          <w:rFonts w:ascii="Times New Roman" w:eastAsia="Times New Roman" w:hAnsi="Times New Roman" w:cs="Times New Roman"/>
          <w:sz w:val="28"/>
        </w:rPr>
        <w:t>mu</w:t>
      </w:r>
      <w:r w:rsidR="00B61D00" w:rsidRPr="00B61D00">
        <w:rPr>
          <w:rFonts w:ascii="Times New Roman" w:eastAsia="Times New Roman" w:hAnsi="Times New Roman" w:cs="Times New Roman"/>
          <w:sz w:val="28"/>
        </w:rPr>
        <w:t xml:space="preserve"> program</w:t>
      </w:r>
      <w:r w:rsidR="00B61D00">
        <w:rPr>
          <w:rFonts w:ascii="Times New Roman" w:eastAsia="Times New Roman" w:hAnsi="Times New Roman" w:cs="Times New Roman"/>
          <w:sz w:val="28"/>
        </w:rPr>
        <w:t>u</w:t>
      </w:r>
      <w:r w:rsidR="007A7D92">
        <w:rPr>
          <w:rFonts w:ascii="Times New Roman" w:eastAsia="Times New Roman" w:hAnsi="Times New Roman" w:cs="Times New Roman"/>
          <w:sz w:val="28"/>
        </w:rPr>
        <w:t xml:space="preserve"> Spravedlivá transformace </w:t>
      </w:r>
      <w:r w:rsidR="00FD53CF">
        <w:rPr>
          <w:rFonts w:ascii="Times New Roman" w:eastAsia="Times New Roman" w:hAnsi="Times New Roman" w:cs="Times New Roman"/>
          <w:sz w:val="28"/>
        </w:rPr>
        <w:t>(OPST)</w:t>
      </w:r>
    </w:p>
    <w:p w:rsidR="00FD53CF" w:rsidRPr="00A022D3" w:rsidRDefault="00FD53CF" w:rsidP="00DB34FF">
      <w:pPr>
        <w:spacing w:line="240" w:lineRule="auto"/>
        <w:ind w:left="2160" w:hanging="2160"/>
        <w:jc w:val="both"/>
        <w:rPr>
          <w:rFonts w:ascii="Times New Roman" w:hAnsi="Times New Roman" w:cs="Times New Roman"/>
        </w:rPr>
      </w:pPr>
    </w:p>
    <w:p w:rsidR="00187D4E" w:rsidRPr="00187D4E" w:rsidRDefault="004F6236" w:rsidP="00187D4E">
      <w:pPr>
        <w:spacing w:line="240" w:lineRule="auto"/>
        <w:jc w:val="both"/>
        <w:rPr>
          <w:rFonts w:ascii="Times New Roman" w:eastAsia="Times New Roman" w:hAnsi="Times New Roman" w:cs="Times New Roman"/>
          <w:sz w:val="28"/>
        </w:rPr>
      </w:pPr>
      <w:r w:rsidRPr="00A022D3">
        <w:rPr>
          <w:rFonts w:ascii="Times New Roman" w:eastAsia="Times New Roman" w:hAnsi="Times New Roman" w:cs="Times New Roman"/>
          <w:b/>
          <w:sz w:val="28"/>
        </w:rPr>
        <w:t xml:space="preserve">Zpracoval:  </w:t>
      </w:r>
      <w:r w:rsidR="000461FD" w:rsidRPr="00A022D3">
        <w:rPr>
          <w:rFonts w:ascii="Times New Roman" w:eastAsia="Times New Roman" w:hAnsi="Times New Roman" w:cs="Times New Roman"/>
          <w:b/>
          <w:sz w:val="28"/>
        </w:rPr>
        <w:tab/>
      </w:r>
      <w:r w:rsidR="00371183">
        <w:rPr>
          <w:rFonts w:ascii="Times New Roman" w:eastAsia="Times New Roman" w:hAnsi="Times New Roman" w:cs="Times New Roman"/>
          <w:sz w:val="28"/>
        </w:rPr>
        <w:t>Patrik Pizinger</w:t>
      </w:r>
      <w:r w:rsidR="00187D4E" w:rsidRPr="00187D4E">
        <w:rPr>
          <w:rFonts w:ascii="Times New Roman" w:eastAsia="Times New Roman" w:hAnsi="Times New Roman" w:cs="Times New Roman"/>
          <w:sz w:val="28"/>
        </w:rPr>
        <w:t xml:space="preserve"> </w:t>
      </w:r>
    </w:p>
    <w:p w:rsidR="006015F9" w:rsidRPr="00A022D3" w:rsidRDefault="00371183" w:rsidP="00187D4E">
      <w:pPr>
        <w:spacing w:line="240" w:lineRule="auto"/>
        <w:ind w:left="1440" w:firstLine="720"/>
        <w:jc w:val="both"/>
        <w:rPr>
          <w:rFonts w:ascii="Times New Roman" w:hAnsi="Times New Roman" w:cs="Times New Roman"/>
        </w:rPr>
      </w:pPr>
      <w:r>
        <w:rPr>
          <w:rFonts w:ascii="Times New Roman" w:eastAsia="Times New Roman" w:hAnsi="Times New Roman" w:cs="Times New Roman"/>
          <w:sz w:val="28"/>
        </w:rPr>
        <w:t>Člen Rady Karlovarského kraje</w:t>
      </w:r>
    </w:p>
    <w:p w:rsidR="006015F9" w:rsidRPr="00A022D3" w:rsidRDefault="006015F9">
      <w:pPr>
        <w:spacing w:line="240" w:lineRule="auto"/>
        <w:rPr>
          <w:rFonts w:ascii="Times New Roman" w:hAnsi="Times New Roman" w:cs="Times New Roman"/>
        </w:rPr>
      </w:pPr>
    </w:p>
    <w:p w:rsidR="00FD53CF" w:rsidRDefault="00FD53CF">
      <w:pPr>
        <w:tabs>
          <w:tab w:val="left" w:pos="360"/>
        </w:tabs>
        <w:spacing w:line="240" w:lineRule="auto"/>
        <w:jc w:val="both"/>
        <w:rPr>
          <w:rFonts w:ascii="Times New Roman" w:eastAsia="Times New Roman" w:hAnsi="Times New Roman" w:cs="Times New Roman"/>
          <w:b/>
          <w:sz w:val="28"/>
          <w:u w:val="single"/>
        </w:rPr>
      </w:pPr>
    </w:p>
    <w:p w:rsidR="006015F9" w:rsidRPr="00A022D3" w:rsidRDefault="004F6236">
      <w:pPr>
        <w:tabs>
          <w:tab w:val="left" w:pos="360"/>
        </w:tabs>
        <w:spacing w:line="240" w:lineRule="auto"/>
        <w:jc w:val="both"/>
        <w:rPr>
          <w:rFonts w:ascii="Times New Roman" w:hAnsi="Times New Roman" w:cs="Times New Roman"/>
        </w:rPr>
      </w:pPr>
      <w:r w:rsidRPr="00A022D3">
        <w:rPr>
          <w:rFonts w:ascii="Times New Roman" w:eastAsia="Times New Roman" w:hAnsi="Times New Roman" w:cs="Times New Roman"/>
          <w:b/>
          <w:sz w:val="28"/>
          <w:u w:val="single"/>
        </w:rPr>
        <w:t>Návrh na usnesení:</w:t>
      </w:r>
    </w:p>
    <w:p w:rsidR="00270440" w:rsidRPr="00A022D3" w:rsidRDefault="00270440" w:rsidP="00270440">
      <w:pPr>
        <w:keepNext/>
        <w:spacing w:line="240" w:lineRule="auto"/>
        <w:rPr>
          <w:rFonts w:ascii="Times New Roman" w:eastAsia="Times New Roman" w:hAnsi="Times New Roman" w:cs="Times New Roman"/>
          <w:b/>
          <w:sz w:val="24"/>
          <w:szCs w:val="24"/>
        </w:rPr>
      </w:pPr>
    </w:p>
    <w:p w:rsidR="00781F44" w:rsidRDefault="006368DC" w:rsidP="00E14EC6">
      <w:pPr>
        <w:keepNext/>
        <w:spacing w:line="240" w:lineRule="auto"/>
        <w:rPr>
          <w:rFonts w:ascii="Times New Roman" w:eastAsia="Times New Roman" w:hAnsi="Times New Roman" w:cs="Times New Roman"/>
          <w:b/>
          <w:sz w:val="24"/>
          <w:szCs w:val="24"/>
        </w:rPr>
      </w:pPr>
      <w:r w:rsidRPr="006368DC">
        <w:rPr>
          <w:rFonts w:ascii="Times New Roman" w:eastAsia="Times New Roman" w:hAnsi="Times New Roman" w:cs="Times New Roman"/>
          <w:b/>
          <w:sz w:val="24"/>
          <w:szCs w:val="24"/>
        </w:rPr>
        <w:t>Regionální stálá konference Karlovarského kraje a zvolení zástupci Rady hospodářské a sociální dohody Karlovarského kraje</w:t>
      </w:r>
    </w:p>
    <w:p w:rsidR="0060093E" w:rsidRDefault="0060093E" w:rsidP="00E14EC6">
      <w:pPr>
        <w:keepNext/>
        <w:spacing w:line="240" w:lineRule="auto"/>
        <w:rPr>
          <w:rFonts w:ascii="Times New Roman" w:eastAsia="Times New Roman" w:hAnsi="Times New Roman" w:cs="Times New Roman"/>
          <w:b/>
          <w:sz w:val="24"/>
          <w:szCs w:val="24"/>
        </w:rPr>
      </w:pPr>
    </w:p>
    <w:p w:rsidR="0060093E" w:rsidRPr="00AE6830" w:rsidRDefault="0060093E" w:rsidP="0060093E">
      <w:pPr>
        <w:pStyle w:val="Odstavecseseznamem"/>
        <w:numPr>
          <w:ilvl w:val="0"/>
          <w:numId w:val="22"/>
        </w:numPr>
        <w:spacing w:line="240" w:lineRule="auto"/>
        <w:rPr>
          <w:rFonts w:ascii="Times New Roman" w:eastAsia="Times New Roman" w:hAnsi="Times New Roman"/>
          <w:b/>
          <w:sz w:val="24"/>
          <w:szCs w:val="24"/>
        </w:rPr>
      </w:pPr>
      <w:r w:rsidRPr="00AE6830">
        <w:rPr>
          <w:rFonts w:ascii="Times New Roman" w:eastAsia="Times New Roman" w:hAnsi="Times New Roman"/>
          <w:b/>
          <w:sz w:val="24"/>
          <w:szCs w:val="24"/>
        </w:rPr>
        <w:t>berou na vědomí</w:t>
      </w:r>
    </w:p>
    <w:p w:rsidR="0060093E" w:rsidRPr="004456AB" w:rsidRDefault="0060093E" w:rsidP="0060093E">
      <w:pPr>
        <w:spacing w:line="240" w:lineRule="auto"/>
        <w:rPr>
          <w:rFonts w:ascii="Times New Roman" w:eastAsia="Times New Roman" w:hAnsi="Times New Roman"/>
          <w:sz w:val="24"/>
          <w:szCs w:val="24"/>
        </w:rPr>
      </w:pPr>
      <w:r w:rsidRPr="004456AB">
        <w:rPr>
          <w:rFonts w:ascii="Times New Roman" w:eastAsia="Times New Roman" w:hAnsi="Times New Roman"/>
          <w:sz w:val="24"/>
          <w:szCs w:val="24"/>
        </w:rPr>
        <w:t>aktuální informace k Operačnímu programu Spravedlivá transformace</w:t>
      </w:r>
    </w:p>
    <w:p w:rsidR="006368DC" w:rsidRPr="00E14EC6" w:rsidRDefault="006368DC" w:rsidP="00E14EC6">
      <w:pPr>
        <w:keepNext/>
        <w:spacing w:line="240" w:lineRule="auto"/>
        <w:rPr>
          <w:rFonts w:ascii="Times New Roman" w:eastAsia="Times New Roman" w:hAnsi="Times New Roman" w:cs="Times New Roman"/>
          <w:b/>
          <w:sz w:val="24"/>
          <w:szCs w:val="24"/>
        </w:rPr>
      </w:pPr>
    </w:p>
    <w:p w:rsidR="00FD53CF" w:rsidRDefault="00FD53CF" w:rsidP="00E14EC6">
      <w:pPr>
        <w:spacing w:line="240" w:lineRule="auto"/>
        <w:rPr>
          <w:rFonts w:ascii="Times New Roman" w:eastAsia="Times New Roman" w:hAnsi="Times New Roman" w:cs="Times New Roman"/>
          <w:b/>
          <w:sz w:val="24"/>
          <w:szCs w:val="24"/>
          <w:u w:val="single"/>
        </w:rPr>
      </w:pPr>
    </w:p>
    <w:p w:rsidR="00B411B2" w:rsidRPr="00B42096" w:rsidRDefault="00B411B2" w:rsidP="00E14EC6">
      <w:pPr>
        <w:spacing w:line="240" w:lineRule="auto"/>
        <w:rPr>
          <w:rFonts w:ascii="Times New Roman" w:hAnsi="Times New Roman" w:cs="Times New Roman"/>
          <w:sz w:val="24"/>
          <w:szCs w:val="24"/>
        </w:rPr>
      </w:pPr>
      <w:r w:rsidRPr="00B42096">
        <w:rPr>
          <w:rFonts w:ascii="Times New Roman" w:eastAsia="Times New Roman" w:hAnsi="Times New Roman" w:cs="Times New Roman"/>
          <w:b/>
          <w:sz w:val="24"/>
          <w:szCs w:val="24"/>
          <w:u w:val="single"/>
        </w:rPr>
        <w:t>Důvodová zpráva</w:t>
      </w:r>
      <w:r w:rsidR="00FC1FE9" w:rsidRPr="00B42096">
        <w:rPr>
          <w:rFonts w:ascii="Times New Roman" w:eastAsia="Times New Roman" w:hAnsi="Times New Roman" w:cs="Times New Roman"/>
          <w:b/>
          <w:sz w:val="24"/>
          <w:szCs w:val="24"/>
          <w:u w:val="single"/>
        </w:rPr>
        <w:t>:</w:t>
      </w:r>
    </w:p>
    <w:p w:rsidR="00E14EC6" w:rsidRDefault="00E14EC6" w:rsidP="00E14EC6">
      <w:pPr>
        <w:pStyle w:val="Default"/>
        <w:jc w:val="both"/>
        <w:rPr>
          <w:b/>
          <w:u w:val="single"/>
        </w:rPr>
      </w:pPr>
    </w:p>
    <w:p w:rsidR="00A81F70" w:rsidRPr="00FD6E5C" w:rsidRDefault="000A1179" w:rsidP="00E14EC6">
      <w:pPr>
        <w:pStyle w:val="Default"/>
        <w:jc w:val="both"/>
        <w:rPr>
          <w:sz w:val="22"/>
          <w:szCs w:val="22"/>
        </w:rPr>
      </w:pPr>
      <w:r>
        <w:rPr>
          <w:sz w:val="22"/>
          <w:szCs w:val="22"/>
        </w:rPr>
        <w:t xml:space="preserve">Pan </w:t>
      </w:r>
      <w:r w:rsidR="00A81F70" w:rsidRPr="00FD6E5C">
        <w:rPr>
          <w:sz w:val="22"/>
          <w:szCs w:val="22"/>
        </w:rPr>
        <w:t>Patrik Pizinger informuje o aktuálním dění v oblasti Operačního programu Spravedlivé transformace a plánovaných aktivitách v rámci příprav OPST.</w:t>
      </w:r>
      <w:r w:rsidR="00BF14BD" w:rsidRPr="00FD6E5C">
        <w:rPr>
          <w:sz w:val="22"/>
          <w:szCs w:val="22"/>
        </w:rPr>
        <w:t xml:space="preserve"> </w:t>
      </w:r>
    </w:p>
    <w:p w:rsidR="00B7705D" w:rsidRDefault="00B7705D" w:rsidP="00E14EC6">
      <w:pPr>
        <w:pStyle w:val="Default"/>
        <w:jc w:val="both"/>
      </w:pPr>
    </w:p>
    <w:p w:rsidR="00B7705D" w:rsidRPr="004F4B38" w:rsidRDefault="00B7705D" w:rsidP="00B7705D">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4F4B38">
        <w:rPr>
          <w:rFonts w:ascii="Times New Roman" w:hAnsi="Times New Roman" w:cs="Times New Roman"/>
          <w:sz w:val="22"/>
          <w:szCs w:val="22"/>
          <w:u w:val="single"/>
          <w:lang w:val="cs-CZ"/>
        </w:rPr>
        <w:t>Zastřešující projekty</w:t>
      </w: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b/>
          <w:sz w:val="22"/>
          <w:szCs w:val="22"/>
          <w:lang w:val="cs-CZ"/>
        </w:rPr>
      </w:pPr>
      <w:r w:rsidRPr="00AD4F05">
        <w:rPr>
          <w:rFonts w:ascii="Times New Roman" w:hAnsi="Times New Roman" w:cs="Times New Roman"/>
          <w:sz w:val="22"/>
          <w:szCs w:val="22"/>
          <w:lang w:val="cs-CZ"/>
        </w:rPr>
        <w:t xml:space="preserve">Ze strany MŽP došlo ke změně terminologie a zastřešující projekty jsou přejmenovány na </w:t>
      </w:r>
      <w:r w:rsidRPr="00AD4F05">
        <w:rPr>
          <w:rFonts w:ascii="Times New Roman" w:hAnsi="Times New Roman" w:cs="Times New Roman"/>
          <w:b/>
          <w:sz w:val="22"/>
          <w:szCs w:val="22"/>
          <w:lang w:val="cs-CZ"/>
        </w:rPr>
        <w:t>projekty skupinové.</w:t>
      </w: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b/>
          <w:sz w:val="22"/>
          <w:szCs w:val="22"/>
          <w:lang w:val="cs-CZ"/>
        </w:rPr>
      </w:pP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AD4F05">
        <w:rPr>
          <w:rFonts w:ascii="Times New Roman" w:hAnsi="Times New Roman" w:cs="Times New Roman"/>
          <w:sz w:val="22"/>
          <w:szCs w:val="22"/>
          <w:lang w:val="cs-CZ"/>
        </w:rPr>
        <w:t xml:space="preserve">Skupinové projekty jsou metodou přerozdělování finančních prostředků Evropské unie, kterou Karlovarský kraj (dále také „KK“) již zná např. z tzv. „kotlíkových dotací“. Terminologicky je tedy „skupinové projekty“ možné chápat principiálně stejně, jako v původním pojetí tzv. „grantové schéma“. V souvislosti s přípravou témat těchto skupinových projektů je ale třeba ještě jednou zdůraznit, že řídicím orgánem OPST je MŽP. Karlovarský kraj je s tímto resortním ministerstvem sice v úzké spolupráci, nicméně obsahové pojetí skupinových projektů, konkrétní podmínky, výše podpory a časový harmonogram vyhlášení a realizace apod., jsou zodpovědností a finálním rozhodnutím MŽP. </w:t>
      </w: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b/>
          <w:sz w:val="22"/>
          <w:szCs w:val="22"/>
          <w:lang w:val="cs-CZ"/>
        </w:rPr>
      </w:pPr>
      <w:r w:rsidRPr="00AD4F05">
        <w:rPr>
          <w:rFonts w:ascii="Times New Roman" w:hAnsi="Times New Roman" w:cs="Times New Roman"/>
          <w:sz w:val="22"/>
          <w:szCs w:val="22"/>
          <w:lang w:val="cs-CZ"/>
        </w:rPr>
        <w:t xml:space="preserve">Aktuálně se předpokládá za KK realizace 2 skupinových projektů, a to </w:t>
      </w:r>
      <w:r w:rsidRPr="00AD4F05">
        <w:rPr>
          <w:rFonts w:ascii="Times New Roman" w:hAnsi="Times New Roman" w:cs="Times New Roman"/>
          <w:b/>
          <w:sz w:val="22"/>
          <w:szCs w:val="22"/>
          <w:lang w:val="cs-CZ"/>
        </w:rPr>
        <w:t>„Lidé a dovednosti“ a „Podnikání a digitalizace“.</w:t>
      </w: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p>
    <w:p w:rsidR="00B7705D" w:rsidRPr="004F4B38" w:rsidRDefault="00B7705D" w:rsidP="00B7705D">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4F4B38">
        <w:rPr>
          <w:rFonts w:ascii="Times New Roman" w:hAnsi="Times New Roman" w:cs="Times New Roman"/>
          <w:sz w:val="22"/>
          <w:szCs w:val="22"/>
          <w:u w:val="single"/>
          <w:lang w:val="cs-CZ"/>
        </w:rPr>
        <w:t>Finanční nástroje</w:t>
      </w:r>
    </w:p>
    <w:p w:rsidR="00AD4F05" w:rsidRP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AD4F05">
        <w:rPr>
          <w:rFonts w:ascii="Times New Roman" w:hAnsi="Times New Roman" w:cs="Times New Roman"/>
          <w:sz w:val="22"/>
          <w:szCs w:val="22"/>
          <w:lang w:val="cs-CZ"/>
        </w:rPr>
        <w:t xml:space="preserve">Odbor regionálního rozvoje se prostřednictvím sekretariátu Regionální stálé konference velmi intenzivně zabývá nastavením parametrů finančních nástrojů OPST, tzv. </w:t>
      </w:r>
      <w:r w:rsidRPr="00AD4F05">
        <w:rPr>
          <w:rFonts w:ascii="Times New Roman" w:hAnsi="Times New Roman" w:cs="Times New Roman"/>
          <w:b/>
          <w:sz w:val="22"/>
          <w:szCs w:val="22"/>
          <w:lang w:val="cs-CZ"/>
        </w:rPr>
        <w:t>úvěrů a záruk</w:t>
      </w:r>
      <w:r w:rsidRPr="00AD4F05">
        <w:rPr>
          <w:rFonts w:ascii="Times New Roman" w:hAnsi="Times New Roman" w:cs="Times New Roman"/>
          <w:sz w:val="22"/>
          <w:szCs w:val="22"/>
          <w:lang w:val="cs-CZ"/>
        </w:rPr>
        <w:t xml:space="preserve"> ve spolupráci s Národní rozvojovou bankou (dále jen „NRB“).</w:t>
      </w:r>
    </w:p>
    <w:p w:rsid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AD4F05">
        <w:rPr>
          <w:rFonts w:ascii="Times New Roman" w:hAnsi="Times New Roman" w:cs="Times New Roman"/>
          <w:sz w:val="22"/>
          <w:szCs w:val="22"/>
          <w:lang w:val="cs-CZ"/>
        </w:rPr>
        <w:t xml:space="preserve">Dle posledního jednání pracovní skupiny k finančním nástrojům budou příjemci finančních nástrojů malé a střední podniky. U finančních nástrojů byl stanoven dolní limit úvěru 500 tisíc Kč a horní limit úvěru 60 mil. Kč. Horní limit úvěru byl stanoven shodně s Ústeckým krajem. Moravskoslezský kraj má stanoven horní limit na 100 mil. Kč v  závislosti návaznosti na výši alokace. Úvěr bude bezúročný s maximální dobou odkladu splátek na 4 roky. Doba splatnosti úvěru bude 7 až 10 let. Poskytnutá výše úvěru může být až 75 % ze způsobilých výdajů projektu. Vymezení CZ NACE kódů je stejné jako ve stávající Expanzi Operačního programu Podnikání a inovace pro konkurenceschopnost (dále jen „OP PIK“). </w:t>
      </w:r>
    </w:p>
    <w:p w:rsid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Na </w:t>
      </w:r>
      <w:r w:rsidRPr="000A2EE4">
        <w:rPr>
          <w:rFonts w:ascii="Times New Roman" w:hAnsi="Times New Roman" w:cs="Times New Roman"/>
          <w:sz w:val="22"/>
          <w:szCs w:val="22"/>
          <w:lang w:val="cs-CZ"/>
        </w:rPr>
        <w:t xml:space="preserve">základě společných jednání </w:t>
      </w:r>
      <w:r>
        <w:rPr>
          <w:rFonts w:ascii="Times New Roman" w:hAnsi="Times New Roman" w:cs="Times New Roman"/>
          <w:sz w:val="22"/>
          <w:szCs w:val="22"/>
          <w:lang w:val="cs-CZ"/>
        </w:rPr>
        <w:t>došlo k předběžné dohodě týkající se postupného čerpání finančních prostředků – nejdříve dojde k čerpání prostředků z OPST a poté se pro 3 kraje v transformaci spustí EXPANZE OPTAK. MPO „rezervuje“ část alokace z OPTAK pro 3 uhelné kraje tak, aby měly dané kraje jistou alokaci i z tohoto finančního zdroje EU (podle jakého klíče bude alokaci mezi kraje rozdělovat, zatím není stanoveno).</w:t>
      </w:r>
    </w:p>
    <w:p w:rsidR="00AD4F05" w:rsidRDefault="00AD4F05"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p>
    <w:p w:rsidR="00B7705D" w:rsidRPr="00FD6E5C" w:rsidRDefault="00B7705D" w:rsidP="00AD4F0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FD6E5C">
        <w:rPr>
          <w:rFonts w:ascii="Times New Roman" w:hAnsi="Times New Roman" w:cs="Times New Roman"/>
          <w:sz w:val="22"/>
          <w:szCs w:val="22"/>
          <w:u w:val="single"/>
          <w:lang w:val="cs-CZ"/>
        </w:rPr>
        <w:t>Tematické výzvy</w:t>
      </w:r>
    </w:p>
    <w:p w:rsidR="00AD4F05" w:rsidRDefault="00AD4F05" w:rsidP="00AD4F05">
      <w:pPr>
        <w:spacing w:line="240" w:lineRule="auto"/>
        <w:jc w:val="both"/>
        <w:rPr>
          <w:rFonts w:ascii="Times New Roman" w:hAnsi="Times New Roman" w:cs="Times New Roman"/>
          <w:szCs w:val="22"/>
        </w:rPr>
      </w:pPr>
      <w:r w:rsidRPr="00AD4F05">
        <w:rPr>
          <w:rFonts w:ascii="Times New Roman" w:hAnsi="Times New Roman" w:cs="Times New Roman"/>
          <w:szCs w:val="22"/>
        </w:rPr>
        <w:t xml:space="preserve">V rámci příprav a pro následnou realizaci OPST byly ze strany MŽP zřízeny </w:t>
      </w:r>
      <w:r w:rsidRPr="00F93F18">
        <w:rPr>
          <w:rFonts w:ascii="Times New Roman" w:hAnsi="Times New Roman" w:cs="Times New Roman"/>
          <w:b/>
          <w:szCs w:val="22"/>
        </w:rPr>
        <w:t>tematické pracovní skupiny</w:t>
      </w:r>
      <w:r w:rsidRPr="00AD4F05">
        <w:rPr>
          <w:rFonts w:ascii="Times New Roman" w:hAnsi="Times New Roman" w:cs="Times New Roman"/>
          <w:szCs w:val="22"/>
        </w:rPr>
        <w:t xml:space="preserve"> (dále jen „TPS“) na úrovni krajů pro jednotlivé podporované oblasti Operačního programu Spravedlivá transformace 2021–2027, jejichž hlavním úkolem a cílem je mimo jiné podílení se na tvorbě strategického a věcného zaměření OPST 2021–2027 v oblasti tematických výzev. V průběhu měsíců března, dubna a května letošního roku proběhla jednání jednotlivých tematických pracovních skupin, při kterých se jejich členové zaměřili na možné oblasti podpory v rámci těchto výzev. </w:t>
      </w:r>
    </w:p>
    <w:p w:rsidR="00AD4F05" w:rsidRPr="00AD4F05" w:rsidRDefault="00AD4F05" w:rsidP="00AD4F05">
      <w:pPr>
        <w:spacing w:after="120" w:line="240" w:lineRule="auto"/>
        <w:jc w:val="both"/>
        <w:rPr>
          <w:rFonts w:ascii="Times New Roman" w:hAnsi="Times New Roman" w:cs="Times New Roman"/>
          <w:szCs w:val="22"/>
        </w:rPr>
      </w:pPr>
      <w:r w:rsidRPr="00AD4F05">
        <w:rPr>
          <w:rFonts w:ascii="Times New Roman" w:hAnsi="Times New Roman" w:cs="Times New Roman"/>
          <w:szCs w:val="22"/>
        </w:rPr>
        <w:t xml:space="preserve">Tematické pracovní skupiny spadající pod OPST jsou stanoveny dle konkrétních řešených oblastí. Členy pracovní skupiny jsou a) zástupci řídicího orgánu, b) zástupci Státního fondu životního prostředí (dále jen „SFŽP“), c) zástupci krajských samospráv, d) odborní gestoři jednotlivých podporovaných oblastí z MŽP, Ministerstva pro místní rozvoj (dále jen „MMR“), dalších ministerstev a ostatních ústředních orgánů a d) externí odborníci. Obsah tematických výzev bude nastavován průběžně. </w:t>
      </w:r>
    </w:p>
    <w:p w:rsidR="00FD6E5C" w:rsidRPr="00FD6E5C" w:rsidRDefault="00AD4F05" w:rsidP="00AD4F05">
      <w:pPr>
        <w:spacing w:after="120" w:line="240" w:lineRule="auto"/>
        <w:jc w:val="both"/>
        <w:rPr>
          <w:rFonts w:ascii="Times New Roman" w:hAnsi="Times New Roman" w:cs="Times New Roman"/>
          <w:szCs w:val="22"/>
        </w:rPr>
      </w:pPr>
      <w:r w:rsidRPr="00AD4F05">
        <w:rPr>
          <w:rFonts w:ascii="Times New Roman" w:hAnsi="Times New Roman" w:cs="Times New Roman"/>
          <w:szCs w:val="22"/>
        </w:rPr>
        <w:t>Od posledního projednání nedošlo ke změně v oblasti tematických výzev.</w:t>
      </w:r>
    </w:p>
    <w:p w:rsidR="00B7705D" w:rsidRDefault="00B7705D" w:rsidP="00E14EC6">
      <w:pPr>
        <w:pStyle w:val="Default"/>
        <w:jc w:val="both"/>
      </w:pPr>
    </w:p>
    <w:p w:rsidR="00FD6E5C" w:rsidRPr="00696A39" w:rsidRDefault="00FD6E5C" w:rsidP="00696A39">
      <w:pPr>
        <w:pStyle w:val="Default"/>
        <w:jc w:val="both"/>
        <w:rPr>
          <w:sz w:val="22"/>
          <w:szCs w:val="22"/>
          <w:u w:val="single"/>
        </w:rPr>
      </w:pPr>
      <w:r w:rsidRPr="00696A39">
        <w:rPr>
          <w:sz w:val="22"/>
          <w:szCs w:val="22"/>
          <w:u w:val="single"/>
        </w:rPr>
        <w:t>Strategické projekty (SP)</w:t>
      </w:r>
    </w:p>
    <w:p w:rsidR="00F93F18" w:rsidRPr="00F93F18" w:rsidRDefault="00F93F18" w:rsidP="00F93F18">
      <w:pPr>
        <w:pStyle w:val="Default"/>
        <w:jc w:val="both"/>
        <w:rPr>
          <w:sz w:val="22"/>
          <w:szCs w:val="22"/>
        </w:rPr>
      </w:pPr>
      <w:r w:rsidRPr="00F93F18">
        <w:rPr>
          <w:sz w:val="22"/>
          <w:szCs w:val="22"/>
        </w:rPr>
        <w:t xml:space="preserve">K dalšímu průběhu práce se strategickými projekty OPST doplňujeme: </w:t>
      </w:r>
    </w:p>
    <w:p w:rsidR="00F93F18" w:rsidRPr="00F93F18" w:rsidRDefault="00F93F18" w:rsidP="00F93F18">
      <w:pPr>
        <w:pStyle w:val="Default"/>
        <w:jc w:val="both"/>
        <w:rPr>
          <w:sz w:val="22"/>
          <w:szCs w:val="22"/>
        </w:rPr>
      </w:pPr>
      <w:r w:rsidRPr="00F93F18">
        <w:rPr>
          <w:sz w:val="22"/>
          <w:szCs w:val="22"/>
        </w:rPr>
        <w:t xml:space="preserve">Nositelům SP byly v červnu 2022 rozeslány </w:t>
      </w:r>
      <w:r w:rsidRPr="008E342B">
        <w:rPr>
          <w:b/>
          <w:sz w:val="22"/>
          <w:szCs w:val="22"/>
        </w:rPr>
        <w:t>dotazníky</w:t>
      </w:r>
      <w:r w:rsidRPr="00F93F18">
        <w:rPr>
          <w:sz w:val="22"/>
          <w:szCs w:val="22"/>
        </w:rPr>
        <w:t>, na základě kterých došlo k identifikování změn v připravovaných projektech oproti předběžným studiím proveditelnosti.</w:t>
      </w:r>
    </w:p>
    <w:p w:rsidR="00F93F18" w:rsidRPr="00F93F18" w:rsidRDefault="00F93F18" w:rsidP="00F93F18">
      <w:pPr>
        <w:pStyle w:val="Default"/>
        <w:jc w:val="both"/>
        <w:rPr>
          <w:sz w:val="22"/>
          <w:szCs w:val="22"/>
        </w:rPr>
      </w:pPr>
      <w:r w:rsidRPr="00F93F18">
        <w:rPr>
          <w:sz w:val="22"/>
          <w:szCs w:val="22"/>
        </w:rPr>
        <w:t xml:space="preserve">Již nyní je zřejmé, že u většiny projektů nastanou změny oproti původním předběžným studiím proveditelnosti, a to zejména v oblasti: </w:t>
      </w:r>
    </w:p>
    <w:p w:rsidR="00F93F18" w:rsidRPr="00F93F18" w:rsidRDefault="00F93F18" w:rsidP="00F93F18">
      <w:pPr>
        <w:pStyle w:val="Default"/>
        <w:jc w:val="both"/>
        <w:rPr>
          <w:sz w:val="22"/>
          <w:szCs w:val="22"/>
        </w:rPr>
      </w:pPr>
      <w:r w:rsidRPr="00F93F18">
        <w:rPr>
          <w:sz w:val="22"/>
          <w:szCs w:val="22"/>
        </w:rPr>
        <w:t>-</w:t>
      </w:r>
      <w:r w:rsidRPr="00F93F18">
        <w:rPr>
          <w:sz w:val="22"/>
          <w:szCs w:val="22"/>
        </w:rPr>
        <w:tab/>
        <w:t>celkových nákladů projektu</w:t>
      </w:r>
    </w:p>
    <w:p w:rsidR="00F93F18" w:rsidRPr="00F93F18" w:rsidRDefault="00F93F18" w:rsidP="00F93F18">
      <w:pPr>
        <w:pStyle w:val="Default"/>
        <w:jc w:val="both"/>
        <w:rPr>
          <w:sz w:val="22"/>
          <w:szCs w:val="22"/>
        </w:rPr>
      </w:pPr>
      <w:r w:rsidRPr="00F93F18">
        <w:rPr>
          <w:sz w:val="22"/>
          <w:szCs w:val="22"/>
        </w:rPr>
        <w:t>-</w:t>
      </w:r>
      <w:r w:rsidRPr="00F93F18">
        <w:rPr>
          <w:sz w:val="22"/>
          <w:szCs w:val="22"/>
        </w:rPr>
        <w:tab/>
        <w:t>výše dotace (procentní podíl dle velikosti žadatele-velký/malý podnik a případně veřejné podpory)</w:t>
      </w:r>
    </w:p>
    <w:p w:rsidR="00F93F18" w:rsidRPr="00F93F18" w:rsidRDefault="00F93F18" w:rsidP="00F93F18">
      <w:pPr>
        <w:pStyle w:val="Default"/>
        <w:jc w:val="both"/>
        <w:rPr>
          <w:sz w:val="22"/>
          <w:szCs w:val="22"/>
        </w:rPr>
      </w:pPr>
    </w:p>
    <w:p w:rsidR="00F93F18" w:rsidRPr="00F93F18" w:rsidRDefault="00F93F18" w:rsidP="00F93F18">
      <w:pPr>
        <w:pStyle w:val="Default"/>
        <w:jc w:val="both"/>
        <w:rPr>
          <w:sz w:val="22"/>
          <w:szCs w:val="22"/>
        </w:rPr>
      </w:pPr>
      <w:r w:rsidRPr="00F93F18">
        <w:rPr>
          <w:b/>
          <w:sz w:val="22"/>
          <w:szCs w:val="22"/>
        </w:rPr>
        <w:t>Zásadní změna</w:t>
      </w:r>
      <w:r w:rsidRPr="00F93F18">
        <w:rPr>
          <w:sz w:val="22"/>
          <w:szCs w:val="22"/>
        </w:rPr>
        <w:t xml:space="preserve"> v rámci SP nastala u projektu „Agentura pro transformaci Karlovarského kraje“, kde je v současné době řešeno jeho stažení ze seznamu strategických projektů Karlovarského kraje OPST. Tuto změnu odsouhlasila Komise Rady Karlovarského kraje pro transformaci regionu, Fond spravedlivé transformace a energetiku na jednání dne 9. 8. 2022 (usnesení č. 4/8/2022). Materiál byl projednán a odsouhlasen na jednání Rady Karlovarského kraje dne 22. 8. 2022 (usnesení č. RK 947/08/22) a následně b</w:t>
      </w:r>
      <w:r>
        <w:rPr>
          <w:sz w:val="22"/>
          <w:szCs w:val="22"/>
        </w:rPr>
        <w:t>yl</w:t>
      </w:r>
      <w:r w:rsidRPr="00F93F18">
        <w:rPr>
          <w:sz w:val="22"/>
          <w:szCs w:val="22"/>
        </w:rPr>
        <w:t xml:space="preserve"> projednán i v Zastupitelstvu Karlovarského kraje</w:t>
      </w:r>
      <w:r>
        <w:rPr>
          <w:sz w:val="22"/>
          <w:szCs w:val="22"/>
        </w:rPr>
        <w:t xml:space="preserve"> dne 12.9.2022</w:t>
      </w:r>
      <w:r w:rsidRPr="00F93F18">
        <w:rPr>
          <w:sz w:val="22"/>
          <w:szCs w:val="22"/>
        </w:rPr>
        <w:t>.</w:t>
      </w:r>
    </w:p>
    <w:p w:rsidR="00F93F18" w:rsidRDefault="00F93F18" w:rsidP="00F93F18">
      <w:pPr>
        <w:pStyle w:val="Default"/>
        <w:jc w:val="both"/>
        <w:rPr>
          <w:sz w:val="22"/>
          <w:szCs w:val="22"/>
        </w:rPr>
      </w:pPr>
      <w:r w:rsidRPr="00F93F18">
        <w:rPr>
          <w:sz w:val="22"/>
          <w:szCs w:val="22"/>
        </w:rPr>
        <w:lastRenderedPageBreak/>
        <w:t xml:space="preserve">Činnosti, které měla původně vykonávat „Agentura pro transformaci Karlovarského kraje“, doznaly určitého vývoje v čase a přirozeně se vyvinuly tak, že budou naplňovány odbory krajského úřadu (zejména odborem regionálního rozvoje, dále jen „ORR“), příspěvkovými organizacemi kraje (zejména Karlovarskou agenturou rozvoje podnikání, </w:t>
      </w:r>
      <w:proofErr w:type="spellStart"/>
      <w:r w:rsidRPr="00F93F18">
        <w:rPr>
          <w:sz w:val="22"/>
          <w:szCs w:val="22"/>
        </w:rPr>
        <w:t>p.o</w:t>
      </w:r>
      <w:proofErr w:type="spellEnd"/>
      <w:r w:rsidRPr="00F93F18">
        <w:rPr>
          <w:sz w:val="22"/>
          <w:szCs w:val="22"/>
        </w:rPr>
        <w:t>., dále jen „KARP“), strategickým projektem „Krajská kulturní a kreativní kancelář - 4K“ a dalšími relevantními subjekty. Díky tomu dojde ke zpřesnění nebo zintenzivnění aktivit při nižších finančních, personálních a materiálních nákladech, než kdyby byl projekt „Agentura pro transformaci Karlovarského kraje“ realizován jako samostatný projekt.</w:t>
      </w:r>
    </w:p>
    <w:p w:rsidR="00F93F18" w:rsidRDefault="00F93F18" w:rsidP="00F93F18">
      <w:pPr>
        <w:pStyle w:val="Default"/>
        <w:jc w:val="both"/>
        <w:rPr>
          <w:sz w:val="22"/>
          <w:szCs w:val="22"/>
        </w:rPr>
      </w:pPr>
    </w:p>
    <w:p w:rsidR="00821D27" w:rsidRPr="00821D27" w:rsidRDefault="00821D27" w:rsidP="00F93F18">
      <w:pPr>
        <w:pStyle w:val="Default"/>
        <w:jc w:val="both"/>
        <w:rPr>
          <w:bCs/>
          <w:sz w:val="22"/>
          <w:szCs w:val="22"/>
          <w:u w:val="single"/>
        </w:rPr>
      </w:pPr>
      <w:r w:rsidRPr="00821D27">
        <w:rPr>
          <w:bCs/>
          <w:sz w:val="22"/>
          <w:szCs w:val="22"/>
          <w:u w:val="single"/>
        </w:rPr>
        <w:t>Monitorovací výbor OPST</w:t>
      </w:r>
    </w:p>
    <w:p w:rsidR="00821D27" w:rsidRDefault="00821D27" w:rsidP="000A1179">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4F4B38">
        <w:rPr>
          <w:rFonts w:ascii="Times New Roman" w:hAnsi="Times New Roman" w:cs="Times New Roman"/>
          <w:sz w:val="22"/>
          <w:szCs w:val="22"/>
          <w:lang w:val="cs-CZ"/>
        </w:rPr>
        <w:t>Dne 8.</w:t>
      </w:r>
      <w:r>
        <w:rPr>
          <w:rFonts w:ascii="Times New Roman" w:hAnsi="Times New Roman" w:cs="Times New Roman"/>
          <w:sz w:val="22"/>
          <w:szCs w:val="22"/>
          <w:lang w:val="cs-CZ"/>
        </w:rPr>
        <w:t xml:space="preserve"> 9. 2022 proběhlo</w:t>
      </w:r>
      <w:r w:rsidRPr="004F4B38">
        <w:rPr>
          <w:rFonts w:ascii="Times New Roman" w:hAnsi="Times New Roman" w:cs="Times New Roman"/>
          <w:sz w:val="22"/>
          <w:szCs w:val="22"/>
          <w:lang w:val="cs-CZ"/>
        </w:rPr>
        <w:t xml:space="preserve"> </w:t>
      </w:r>
      <w:r w:rsidRPr="008E342B">
        <w:rPr>
          <w:rFonts w:ascii="Times New Roman" w:hAnsi="Times New Roman" w:cs="Times New Roman"/>
          <w:b/>
          <w:sz w:val="22"/>
          <w:szCs w:val="22"/>
          <w:lang w:val="cs-CZ"/>
        </w:rPr>
        <w:t>nulté zasedání Monitorovacího výboru</w:t>
      </w:r>
      <w:r>
        <w:rPr>
          <w:rFonts w:ascii="Times New Roman" w:hAnsi="Times New Roman" w:cs="Times New Roman"/>
          <w:sz w:val="22"/>
          <w:szCs w:val="22"/>
          <w:lang w:val="cs-CZ"/>
        </w:rPr>
        <w:t xml:space="preserve"> OPST, kde se představily</w:t>
      </w:r>
      <w:r w:rsidRPr="004F4B38">
        <w:rPr>
          <w:rFonts w:ascii="Times New Roman" w:hAnsi="Times New Roman" w:cs="Times New Roman"/>
          <w:sz w:val="22"/>
          <w:szCs w:val="22"/>
          <w:lang w:val="cs-CZ"/>
        </w:rPr>
        <w:t xml:space="preserve"> informace o</w:t>
      </w:r>
      <w:r>
        <w:rPr>
          <w:rFonts w:ascii="Times New Roman" w:hAnsi="Times New Roman" w:cs="Times New Roman"/>
          <w:sz w:val="22"/>
          <w:szCs w:val="22"/>
          <w:lang w:val="cs-CZ"/>
        </w:rPr>
        <w:t> </w:t>
      </w:r>
      <w:r w:rsidRPr="004F4B38">
        <w:rPr>
          <w:rFonts w:ascii="Times New Roman" w:hAnsi="Times New Roman" w:cs="Times New Roman"/>
          <w:sz w:val="22"/>
          <w:szCs w:val="22"/>
          <w:lang w:val="cs-CZ"/>
        </w:rPr>
        <w:t xml:space="preserve">OPST, programové dokumenty, strategické projekty a tematické výzvy. </w:t>
      </w:r>
    </w:p>
    <w:p w:rsidR="00821D27" w:rsidRPr="004F4B38" w:rsidRDefault="00821D27" w:rsidP="000A1179">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p>
    <w:p w:rsidR="00821D27" w:rsidRPr="00821D27" w:rsidRDefault="00821D27" w:rsidP="000A1179">
      <w:pPr>
        <w:pStyle w:val="Default"/>
        <w:jc w:val="both"/>
        <w:rPr>
          <w:bCs/>
          <w:sz w:val="22"/>
          <w:szCs w:val="22"/>
          <w:u w:val="single"/>
        </w:rPr>
      </w:pPr>
      <w:r>
        <w:rPr>
          <w:bCs/>
          <w:sz w:val="22"/>
          <w:szCs w:val="22"/>
          <w:u w:val="single"/>
        </w:rPr>
        <w:t>Plánované aktivity:</w:t>
      </w:r>
    </w:p>
    <w:p w:rsidR="00821D27" w:rsidRDefault="00821D27" w:rsidP="000A1179">
      <w:pPr>
        <w:pStyle w:val="Norma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Pr>
          <w:rFonts w:ascii="Times New Roman" w:hAnsi="Times New Roman" w:cs="Times New Roman"/>
          <w:sz w:val="22"/>
          <w:szCs w:val="22"/>
          <w:lang w:val="cs-CZ"/>
        </w:rPr>
        <w:t>schválení OPST</w:t>
      </w:r>
    </w:p>
    <w:p w:rsidR="00821D27" w:rsidRDefault="00821D27" w:rsidP="000A1179">
      <w:pPr>
        <w:pStyle w:val="Norma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4F4B38">
        <w:rPr>
          <w:rFonts w:ascii="Times New Roman" w:hAnsi="Times New Roman" w:cs="Times New Roman"/>
          <w:sz w:val="22"/>
          <w:szCs w:val="22"/>
          <w:lang w:val="cs-CZ"/>
        </w:rPr>
        <w:t>nastavení tematických výzev OPST</w:t>
      </w:r>
      <w:bookmarkStart w:id="0" w:name="_GoBack"/>
      <w:bookmarkEnd w:id="0"/>
    </w:p>
    <w:p w:rsidR="00821D27" w:rsidRPr="00CF2567" w:rsidRDefault="00821D27" w:rsidP="000A1179">
      <w:pPr>
        <w:pStyle w:val="Norma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2"/>
          <w:szCs w:val="22"/>
          <w:lang w:val="cs-CZ"/>
        </w:rPr>
      </w:pPr>
      <w:r w:rsidRPr="00CF2567">
        <w:rPr>
          <w:rFonts w:ascii="Times New Roman" w:hAnsi="Times New Roman" w:cs="Times New Roman"/>
          <w:sz w:val="22"/>
          <w:szCs w:val="22"/>
          <w:lang w:val="cs-CZ"/>
        </w:rPr>
        <w:t>postupné spuštění implementace OPST (vyhlášení finančních nástrojů a zastřešujících projektů, výzev pro strategické projekty a tematických výzev)</w:t>
      </w:r>
    </w:p>
    <w:p w:rsidR="00821D27" w:rsidRPr="00FD6E5C" w:rsidRDefault="00821D27" w:rsidP="000A1179">
      <w:pPr>
        <w:pStyle w:val="Default"/>
        <w:jc w:val="both"/>
      </w:pPr>
    </w:p>
    <w:sectPr w:rsidR="00821D27" w:rsidRPr="00FD6E5C" w:rsidSect="00826A2D">
      <w:headerReference w:type="default" r:id="rId8"/>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70A" w:rsidRDefault="005E470A">
      <w:pPr>
        <w:spacing w:line="240" w:lineRule="auto"/>
      </w:pPr>
      <w:r>
        <w:separator/>
      </w:r>
    </w:p>
  </w:endnote>
  <w:endnote w:type="continuationSeparator" w:id="0">
    <w:p w:rsidR="005E470A" w:rsidRDefault="005E4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70A" w:rsidRDefault="005E470A">
      <w:pPr>
        <w:spacing w:line="240" w:lineRule="auto"/>
      </w:pPr>
      <w:r>
        <w:separator/>
      </w:r>
    </w:p>
  </w:footnote>
  <w:footnote w:type="continuationSeparator" w:id="0">
    <w:p w:rsidR="005E470A" w:rsidRDefault="005E47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AE5048" w:rsidP="00AE5048">
    <w:pPr>
      <w:pStyle w:val="Zhlav"/>
      <w:jc w:val="center"/>
    </w:pPr>
    <w:r>
      <w:rPr>
        <w:noProof/>
      </w:rPr>
      <w:drawing>
        <wp:inline distT="0" distB="0" distL="0" distR="0" wp14:anchorId="5BCC956E" wp14:editId="528D95F8">
          <wp:extent cx="3944620" cy="6769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4620" cy="676910"/>
                  </a:xfrm>
                  <a:prstGeom prst="rect">
                    <a:avLst/>
                  </a:prstGeom>
                  <a:noFill/>
                </pic:spPr>
              </pic:pic>
            </a:graphicData>
          </a:graphic>
        </wp:inline>
      </w:drawing>
    </w:r>
  </w:p>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835E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5063F6"/>
    <w:multiLevelType w:val="hybridMultilevel"/>
    <w:tmpl w:val="F21A5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3C2495"/>
    <w:multiLevelType w:val="hybridMultilevel"/>
    <w:tmpl w:val="619AF09C"/>
    <w:lvl w:ilvl="0" w:tplc="5F8AC288">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A81601"/>
    <w:multiLevelType w:val="hybridMultilevel"/>
    <w:tmpl w:val="9828B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D27CB3"/>
    <w:multiLevelType w:val="hybridMultilevel"/>
    <w:tmpl w:val="5BB6D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6"/>
  </w:num>
  <w:num w:numId="3">
    <w:abstractNumId w:val="23"/>
  </w:num>
  <w:num w:numId="4">
    <w:abstractNumId w:val="13"/>
  </w:num>
  <w:num w:numId="5">
    <w:abstractNumId w:val="17"/>
  </w:num>
  <w:num w:numId="6">
    <w:abstractNumId w:val="20"/>
  </w:num>
  <w:num w:numId="7">
    <w:abstractNumId w:val="18"/>
  </w:num>
  <w:num w:numId="8">
    <w:abstractNumId w:val="9"/>
  </w:num>
  <w:num w:numId="9">
    <w:abstractNumId w:val="1"/>
  </w:num>
  <w:num w:numId="10">
    <w:abstractNumId w:val="19"/>
  </w:num>
  <w:num w:numId="11">
    <w:abstractNumId w:val="7"/>
  </w:num>
  <w:num w:numId="12">
    <w:abstractNumId w:val="11"/>
  </w:num>
  <w:num w:numId="13">
    <w:abstractNumId w:val="14"/>
  </w:num>
  <w:num w:numId="14">
    <w:abstractNumId w:val="5"/>
  </w:num>
  <w:num w:numId="15">
    <w:abstractNumId w:val="10"/>
  </w:num>
  <w:num w:numId="16">
    <w:abstractNumId w:val="12"/>
  </w:num>
  <w:num w:numId="17">
    <w:abstractNumId w:val="4"/>
  </w:num>
  <w:num w:numId="18">
    <w:abstractNumId w:val="2"/>
  </w:num>
  <w:num w:numId="19">
    <w:abstractNumId w:val="3"/>
  </w:num>
  <w:num w:numId="20">
    <w:abstractNumId w:val="21"/>
  </w:num>
  <w:num w:numId="21">
    <w:abstractNumId w:val="15"/>
  </w:num>
  <w:num w:numId="22">
    <w:abstractNumId w:val="6"/>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038B6"/>
    <w:rsid w:val="000138EE"/>
    <w:rsid w:val="000209C7"/>
    <w:rsid w:val="00021F87"/>
    <w:rsid w:val="0002276D"/>
    <w:rsid w:val="00035E25"/>
    <w:rsid w:val="0004097F"/>
    <w:rsid w:val="000461FD"/>
    <w:rsid w:val="00046A62"/>
    <w:rsid w:val="000569D6"/>
    <w:rsid w:val="00095A42"/>
    <w:rsid w:val="000A1179"/>
    <w:rsid w:val="000A6361"/>
    <w:rsid w:val="000B415B"/>
    <w:rsid w:val="000B5EC2"/>
    <w:rsid w:val="000D756F"/>
    <w:rsid w:val="000E7773"/>
    <w:rsid w:val="000F16F4"/>
    <w:rsid w:val="000F595F"/>
    <w:rsid w:val="00114423"/>
    <w:rsid w:val="00135052"/>
    <w:rsid w:val="00142ADF"/>
    <w:rsid w:val="00161133"/>
    <w:rsid w:val="00181F2D"/>
    <w:rsid w:val="00184486"/>
    <w:rsid w:val="001847AC"/>
    <w:rsid w:val="00186776"/>
    <w:rsid w:val="00187D4E"/>
    <w:rsid w:val="001C2013"/>
    <w:rsid w:val="001C4B96"/>
    <w:rsid w:val="001E2ED1"/>
    <w:rsid w:val="00212491"/>
    <w:rsid w:val="00217DD2"/>
    <w:rsid w:val="00236E1A"/>
    <w:rsid w:val="00270440"/>
    <w:rsid w:val="00276771"/>
    <w:rsid w:val="002A0631"/>
    <w:rsid w:val="002A569C"/>
    <w:rsid w:val="002D5B9A"/>
    <w:rsid w:val="002F5652"/>
    <w:rsid w:val="002F7CA6"/>
    <w:rsid w:val="0030281C"/>
    <w:rsid w:val="00303F1B"/>
    <w:rsid w:val="00304264"/>
    <w:rsid w:val="0030463C"/>
    <w:rsid w:val="00311E09"/>
    <w:rsid w:val="003602B3"/>
    <w:rsid w:val="00371183"/>
    <w:rsid w:val="003847DE"/>
    <w:rsid w:val="003A0138"/>
    <w:rsid w:val="003A5D55"/>
    <w:rsid w:val="003B7E49"/>
    <w:rsid w:val="003D2180"/>
    <w:rsid w:val="003F6489"/>
    <w:rsid w:val="00404BD5"/>
    <w:rsid w:val="0044213E"/>
    <w:rsid w:val="004447BF"/>
    <w:rsid w:val="004456AB"/>
    <w:rsid w:val="00455AE3"/>
    <w:rsid w:val="00464667"/>
    <w:rsid w:val="00490880"/>
    <w:rsid w:val="004A3414"/>
    <w:rsid w:val="004A596F"/>
    <w:rsid w:val="004A7E91"/>
    <w:rsid w:val="004B3328"/>
    <w:rsid w:val="004B69DC"/>
    <w:rsid w:val="004C753B"/>
    <w:rsid w:val="004E0E31"/>
    <w:rsid w:val="004F6236"/>
    <w:rsid w:val="004F7D6D"/>
    <w:rsid w:val="00502007"/>
    <w:rsid w:val="0051346B"/>
    <w:rsid w:val="00523BF9"/>
    <w:rsid w:val="0053713B"/>
    <w:rsid w:val="005811AA"/>
    <w:rsid w:val="00586AAE"/>
    <w:rsid w:val="005A03EC"/>
    <w:rsid w:val="005B5C77"/>
    <w:rsid w:val="005D711E"/>
    <w:rsid w:val="005E470A"/>
    <w:rsid w:val="005F7569"/>
    <w:rsid w:val="0060093E"/>
    <w:rsid w:val="006015F9"/>
    <w:rsid w:val="00621C8D"/>
    <w:rsid w:val="00624D7F"/>
    <w:rsid w:val="0062619E"/>
    <w:rsid w:val="00631612"/>
    <w:rsid w:val="006368DC"/>
    <w:rsid w:val="00642783"/>
    <w:rsid w:val="006436F9"/>
    <w:rsid w:val="00654558"/>
    <w:rsid w:val="00662CD1"/>
    <w:rsid w:val="0066323A"/>
    <w:rsid w:val="00663B7A"/>
    <w:rsid w:val="00694F4A"/>
    <w:rsid w:val="00696A39"/>
    <w:rsid w:val="006A7B5F"/>
    <w:rsid w:val="006B5839"/>
    <w:rsid w:val="006B7C5F"/>
    <w:rsid w:val="006C0C43"/>
    <w:rsid w:val="006C2865"/>
    <w:rsid w:val="006C747C"/>
    <w:rsid w:val="0071308D"/>
    <w:rsid w:val="00721BF7"/>
    <w:rsid w:val="00725845"/>
    <w:rsid w:val="00732BF2"/>
    <w:rsid w:val="00732DC2"/>
    <w:rsid w:val="00756559"/>
    <w:rsid w:val="007803F8"/>
    <w:rsid w:val="00781F44"/>
    <w:rsid w:val="00786F86"/>
    <w:rsid w:val="007A7D92"/>
    <w:rsid w:val="007C69B2"/>
    <w:rsid w:val="007E05AC"/>
    <w:rsid w:val="007E3563"/>
    <w:rsid w:val="007F3CFE"/>
    <w:rsid w:val="007F71D6"/>
    <w:rsid w:val="00821D27"/>
    <w:rsid w:val="00826A2D"/>
    <w:rsid w:val="0083070B"/>
    <w:rsid w:val="00843CEA"/>
    <w:rsid w:val="0085762A"/>
    <w:rsid w:val="008A55BB"/>
    <w:rsid w:val="008C34EB"/>
    <w:rsid w:val="008D5C04"/>
    <w:rsid w:val="008E342B"/>
    <w:rsid w:val="008F1241"/>
    <w:rsid w:val="00940335"/>
    <w:rsid w:val="00961F8D"/>
    <w:rsid w:val="0098523F"/>
    <w:rsid w:val="00996FD6"/>
    <w:rsid w:val="009A5CC0"/>
    <w:rsid w:val="009B47B8"/>
    <w:rsid w:val="009D20FD"/>
    <w:rsid w:val="009D3D93"/>
    <w:rsid w:val="009E0871"/>
    <w:rsid w:val="00A022D3"/>
    <w:rsid w:val="00A02F39"/>
    <w:rsid w:val="00A22842"/>
    <w:rsid w:val="00A256F0"/>
    <w:rsid w:val="00A36BBB"/>
    <w:rsid w:val="00A80A4C"/>
    <w:rsid w:val="00A81F70"/>
    <w:rsid w:val="00A95480"/>
    <w:rsid w:val="00AB512D"/>
    <w:rsid w:val="00AD4F05"/>
    <w:rsid w:val="00AE2490"/>
    <w:rsid w:val="00AE5048"/>
    <w:rsid w:val="00AE6830"/>
    <w:rsid w:val="00AF3840"/>
    <w:rsid w:val="00AF7EBA"/>
    <w:rsid w:val="00B12E86"/>
    <w:rsid w:val="00B12F57"/>
    <w:rsid w:val="00B16CA7"/>
    <w:rsid w:val="00B2035E"/>
    <w:rsid w:val="00B411B2"/>
    <w:rsid w:val="00B42096"/>
    <w:rsid w:val="00B430D6"/>
    <w:rsid w:val="00B5462B"/>
    <w:rsid w:val="00B56D75"/>
    <w:rsid w:val="00B61D00"/>
    <w:rsid w:val="00B63D08"/>
    <w:rsid w:val="00B7705D"/>
    <w:rsid w:val="00B804DF"/>
    <w:rsid w:val="00B80EF7"/>
    <w:rsid w:val="00B81F0D"/>
    <w:rsid w:val="00B84682"/>
    <w:rsid w:val="00B94625"/>
    <w:rsid w:val="00B94B6A"/>
    <w:rsid w:val="00BA1502"/>
    <w:rsid w:val="00BB5E85"/>
    <w:rsid w:val="00BB701F"/>
    <w:rsid w:val="00BC2A66"/>
    <w:rsid w:val="00BF0B7D"/>
    <w:rsid w:val="00BF14BD"/>
    <w:rsid w:val="00C02A15"/>
    <w:rsid w:val="00C0727D"/>
    <w:rsid w:val="00C1284A"/>
    <w:rsid w:val="00C14BDE"/>
    <w:rsid w:val="00C26D6A"/>
    <w:rsid w:val="00C52F5E"/>
    <w:rsid w:val="00C5486B"/>
    <w:rsid w:val="00C632BE"/>
    <w:rsid w:val="00C8047C"/>
    <w:rsid w:val="00C82A06"/>
    <w:rsid w:val="00C87A1C"/>
    <w:rsid w:val="00CA3EBF"/>
    <w:rsid w:val="00CB7537"/>
    <w:rsid w:val="00CC00F7"/>
    <w:rsid w:val="00CC3637"/>
    <w:rsid w:val="00CD1064"/>
    <w:rsid w:val="00CD722E"/>
    <w:rsid w:val="00CF4C89"/>
    <w:rsid w:val="00D064CA"/>
    <w:rsid w:val="00D26726"/>
    <w:rsid w:val="00D41EAA"/>
    <w:rsid w:val="00D4324F"/>
    <w:rsid w:val="00D4611B"/>
    <w:rsid w:val="00D8618F"/>
    <w:rsid w:val="00D91577"/>
    <w:rsid w:val="00DB34FF"/>
    <w:rsid w:val="00DC6004"/>
    <w:rsid w:val="00DD43F5"/>
    <w:rsid w:val="00DE54BE"/>
    <w:rsid w:val="00DF30F6"/>
    <w:rsid w:val="00E06A89"/>
    <w:rsid w:val="00E14EC6"/>
    <w:rsid w:val="00E1554D"/>
    <w:rsid w:val="00E16384"/>
    <w:rsid w:val="00E30D41"/>
    <w:rsid w:val="00E43F6D"/>
    <w:rsid w:val="00E473BC"/>
    <w:rsid w:val="00E817EB"/>
    <w:rsid w:val="00EE1B8B"/>
    <w:rsid w:val="00EE38D0"/>
    <w:rsid w:val="00EE44FF"/>
    <w:rsid w:val="00F24279"/>
    <w:rsid w:val="00F30639"/>
    <w:rsid w:val="00F31172"/>
    <w:rsid w:val="00F33F02"/>
    <w:rsid w:val="00F40EDE"/>
    <w:rsid w:val="00F422C4"/>
    <w:rsid w:val="00F65BC7"/>
    <w:rsid w:val="00F93F18"/>
    <w:rsid w:val="00F975E5"/>
    <w:rsid w:val="00F97865"/>
    <w:rsid w:val="00FC1FE9"/>
    <w:rsid w:val="00FD53CF"/>
    <w:rsid w:val="00FD6E5C"/>
    <w:rsid w:val="00FE08C5"/>
    <w:rsid w:val="00FE0AE5"/>
    <w:rsid w:val="00FE6128"/>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Odrážky,Nad,Odstavec cíl se seznamem,Odstavec se seznamem5,Odstavec se seznamem1,_Odstavec se seznamem,Seznam - odrážky,Conclusion de partie,Fiche List Paragraph,List Paragraph (Czech Tourism),Název grafu,nad 1"/>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Odrážky Char,Nad Char,Odstavec cíl se seznamem Char,Odstavec se seznamem5 Char,Odstavec se seznamem1 Char,_Odstavec se seznamem Char,Seznam - odrážky Char,Conclusion de partie Char,Fiche List Paragraph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E9EBA-5E4B-441D-8756-34EC811E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3</Pages>
  <Words>911</Words>
  <Characters>5375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64</cp:revision>
  <cp:lastPrinted>2022-06-13T06:05:00Z</cp:lastPrinted>
  <dcterms:created xsi:type="dcterms:W3CDTF">2019-11-06T08:27:00Z</dcterms:created>
  <dcterms:modified xsi:type="dcterms:W3CDTF">2022-08-30T12:43:00Z</dcterms:modified>
</cp:coreProperties>
</file>