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B8B" w:rsidRDefault="00582B8B" w:rsidP="00582B8B">
      <w:pPr>
        <w:widowControl w:val="0"/>
        <w:spacing w:line="280" w:lineRule="exact"/>
        <w:ind w:right="198"/>
        <w:jc w:val="both"/>
        <w:rPr>
          <w:rFonts w:ascii="Cambria" w:hAnsi="Cambria" w:cs="Cambria"/>
          <w:b/>
          <w:bCs/>
          <w:sz w:val="16"/>
          <w:szCs w:val="16"/>
        </w:rPr>
      </w:pPr>
      <w:bookmarkStart w:id="0" w:name="_GoBack"/>
      <w:bookmarkEnd w:id="0"/>
    </w:p>
    <w:p w:rsidR="008D5AC9" w:rsidRPr="00113728" w:rsidRDefault="008D5AC9" w:rsidP="00582B8B">
      <w:pPr>
        <w:widowControl w:val="0"/>
        <w:spacing w:line="280" w:lineRule="exact"/>
        <w:ind w:right="198"/>
        <w:jc w:val="both"/>
        <w:rPr>
          <w:rFonts w:ascii="Cambria" w:hAnsi="Cambria" w:cs="Cambria"/>
          <w:b/>
          <w:bCs/>
          <w:sz w:val="16"/>
          <w:szCs w:val="16"/>
        </w:rPr>
      </w:pPr>
    </w:p>
    <w:tbl>
      <w:tblPr>
        <w:tblW w:w="10388" w:type="dxa"/>
        <w:tblInd w:w="-1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5130"/>
        <w:gridCol w:w="1350"/>
        <w:gridCol w:w="2430"/>
      </w:tblGrid>
      <w:tr w:rsidR="00582B8B" w:rsidRPr="00113728" w:rsidTr="00CD3FBA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127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název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 w:rsidRPr="00113728">
              <w:rPr>
                <w:rFonts w:ascii="Cambria" w:hAnsi="Cambria" w:cs="Cambria"/>
                <w:sz w:val="20"/>
                <w:szCs w:val="20"/>
              </w:rPr>
              <w:t>2. zasedání Národní stálé konference</w:t>
            </w:r>
          </w:p>
        </w:tc>
      </w:tr>
      <w:tr w:rsidR="00582B8B" w:rsidRPr="00113728" w:rsidTr="00CD3FBA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127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datum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 w:rsidRPr="00113728">
              <w:rPr>
                <w:rFonts w:ascii="Cambria" w:hAnsi="Cambria" w:cs="Cambria"/>
                <w:sz w:val="20"/>
                <w:szCs w:val="20"/>
              </w:rPr>
              <w:t>27. března 2015, 10:00 – 1</w:t>
            </w:r>
            <w:r w:rsidR="00D80F5F">
              <w:rPr>
                <w:rFonts w:ascii="Cambria" w:hAnsi="Cambria" w:cs="Cambria"/>
                <w:sz w:val="20"/>
                <w:szCs w:val="20"/>
              </w:rPr>
              <w:t>5</w:t>
            </w:r>
            <w:r w:rsidRPr="00113728">
              <w:rPr>
                <w:rFonts w:ascii="Cambria" w:hAnsi="Cambria" w:cs="Cambria"/>
                <w:sz w:val="20"/>
                <w:szCs w:val="20"/>
              </w:rPr>
              <w:t>:</w:t>
            </w:r>
            <w:r w:rsidR="00AD763D">
              <w:rPr>
                <w:rFonts w:ascii="Cambria" w:hAnsi="Cambria" w:cs="Cambria"/>
                <w:sz w:val="20"/>
                <w:szCs w:val="20"/>
              </w:rPr>
              <w:t>15</w:t>
            </w:r>
          </w:p>
        </w:tc>
      </w:tr>
      <w:tr w:rsidR="00582B8B" w:rsidRPr="00113728" w:rsidTr="00CD3FBA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místo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 w:rsidRPr="00113728">
              <w:rPr>
                <w:rFonts w:ascii="Cambria" w:hAnsi="Cambria" w:cs="Cambria"/>
                <w:sz w:val="20"/>
                <w:szCs w:val="20"/>
              </w:rPr>
              <w:t>Praha, Slovanský dům</w:t>
            </w:r>
          </w:p>
        </w:tc>
      </w:tr>
      <w:tr w:rsidR="00582B8B" w:rsidRPr="00113728" w:rsidTr="00CD3FBA">
        <w:trPr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účastníci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 w:rsidRPr="00113728">
              <w:rPr>
                <w:rFonts w:ascii="Cambria" w:hAnsi="Cambria" w:cs="Cambria"/>
                <w:sz w:val="20"/>
                <w:szCs w:val="20"/>
              </w:rPr>
              <w:t>viz prezenční listina</w:t>
            </w:r>
          </w:p>
        </w:tc>
      </w:tr>
      <w:tr w:rsidR="00582B8B" w:rsidRPr="00113728" w:rsidTr="00CD3FBA">
        <w:trPr>
          <w:trHeight w:val="762"/>
        </w:trPr>
        <w:tc>
          <w:tcPr>
            <w:tcW w:w="1478" w:type="dxa"/>
            <w:tcBorders>
              <w:top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přílohy zápisu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</w:tcPr>
          <w:p w:rsidR="00971737" w:rsidRDefault="00971737" w:rsidP="00971737">
            <w:pPr>
              <w:tabs>
                <w:tab w:val="left" w:pos="142"/>
                <w:tab w:val="left" w:pos="3402"/>
              </w:tabs>
              <w:spacing w:line="280" w:lineRule="exact"/>
              <w:rPr>
                <w:rFonts w:ascii="Cambria" w:hAnsi="Cambria" w:cs="Cambria"/>
                <w:sz w:val="20"/>
                <w:szCs w:val="20"/>
              </w:rPr>
            </w:pPr>
            <w:bookmarkStart w:id="1" w:name="appendices"/>
            <w:bookmarkEnd w:id="1"/>
            <w:r>
              <w:rPr>
                <w:rFonts w:ascii="Cambria" w:hAnsi="Cambria" w:cs="Cambria"/>
                <w:sz w:val="20"/>
                <w:szCs w:val="20"/>
              </w:rPr>
              <w:t xml:space="preserve">   1. </w:t>
            </w:r>
            <w:r w:rsidRPr="00223E56">
              <w:rPr>
                <w:rFonts w:ascii="Cambria" w:hAnsi="Cambria" w:cs="Cambria"/>
                <w:sz w:val="20"/>
                <w:szCs w:val="20"/>
              </w:rPr>
              <w:t>Prezenční listina, 2. Schválený program jednání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</w:p>
          <w:p w:rsidR="00582B8B" w:rsidRPr="00113728" w:rsidRDefault="00971737" w:rsidP="00971737">
            <w:pPr>
              <w:tabs>
                <w:tab w:val="left" w:pos="142"/>
                <w:tab w:val="left" w:pos="3402"/>
              </w:tabs>
              <w:spacing w:line="280" w:lineRule="exac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   3. </w:t>
            </w:r>
            <w:r w:rsidRPr="00223E56">
              <w:rPr>
                <w:rFonts w:ascii="Cambria" w:hAnsi="Cambria" w:cs="Cambria"/>
                <w:sz w:val="20"/>
                <w:szCs w:val="20"/>
              </w:rPr>
              <w:t>Prezentace</w:t>
            </w:r>
            <w:r w:rsidR="003A7EEA">
              <w:rPr>
                <w:rFonts w:ascii="Cambria" w:hAnsi="Cambria" w:cs="Cambria"/>
                <w:sz w:val="20"/>
                <w:szCs w:val="20"/>
              </w:rPr>
              <w:t>, 4. Soubor usnesení</w:t>
            </w:r>
          </w:p>
          <w:p w:rsidR="008D5AC9" w:rsidRPr="00113728" w:rsidRDefault="008D5AC9" w:rsidP="00CD3FBA">
            <w:pPr>
              <w:tabs>
                <w:tab w:val="left" w:pos="142"/>
                <w:tab w:val="left" w:pos="3402"/>
              </w:tabs>
              <w:spacing w:line="280" w:lineRule="exac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582B8B" w:rsidRPr="00113728" w:rsidRDefault="00582B8B" w:rsidP="00CD3FBA">
            <w:pPr>
              <w:tabs>
                <w:tab w:val="left" w:pos="851"/>
              </w:tabs>
              <w:spacing w:line="280" w:lineRule="exact"/>
              <w:ind w:left="425"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113728">
              <w:rPr>
                <w:rFonts w:ascii="Cambria" w:hAnsi="Cambria" w:cs="Cambria"/>
                <w:color w:val="808080"/>
                <w:sz w:val="20"/>
                <w:szCs w:val="20"/>
              </w:rPr>
              <w:t>Stran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:rsidR="00582B8B" w:rsidRPr="00113728" w:rsidRDefault="00312018" w:rsidP="00CD3FBA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jc w:val="both"/>
              <w:rPr>
                <w:rFonts w:ascii="Cambria" w:hAnsi="Cambria" w:cs="Cambria"/>
                <w:sz w:val="20"/>
                <w:szCs w:val="20"/>
              </w:rPr>
            </w:pPr>
            <w:bookmarkStart w:id="2" w:name="pages"/>
            <w:bookmarkEnd w:id="2"/>
            <w:r>
              <w:rPr>
                <w:rFonts w:ascii="Cambria" w:hAnsi="Cambria" w:cs="Cambria"/>
                <w:sz w:val="20"/>
                <w:szCs w:val="20"/>
              </w:rPr>
              <w:t>7</w:t>
            </w:r>
          </w:p>
        </w:tc>
      </w:tr>
    </w:tbl>
    <w:p w:rsidR="008D5AC9" w:rsidRDefault="008D5AC9" w:rsidP="008D5AC9">
      <w:pPr>
        <w:pStyle w:val="Zhlav"/>
        <w:tabs>
          <w:tab w:val="left" w:pos="1920"/>
        </w:tabs>
        <w:ind w:left="-1276"/>
        <w:rPr>
          <w:rFonts w:ascii="Calibri" w:hAnsi="Calibri" w:cs="Calibri"/>
          <w:b/>
          <w:bCs/>
          <w:spacing w:val="40"/>
          <w:sz w:val="32"/>
          <w:szCs w:val="32"/>
          <w:lang w:val="en-US"/>
        </w:rPr>
      </w:pPr>
    </w:p>
    <w:p w:rsidR="008D5AC9" w:rsidRPr="00237A89" w:rsidRDefault="008D5AC9" w:rsidP="008D5AC9">
      <w:pPr>
        <w:pStyle w:val="Zhlav"/>
        <w:tabs>
          <w:tab w:val="left" w:pos="1920"/>
        </w:tabs>
        <w:ind w:left="-1276"/>
        <w:rPr>
          <w:rFonts w:ascii="Calibri" w:hAnsi="Calibri" w:cs="Calibri"/>
          <w:b/>
          <w:bCs/>
          <w:spacing w:val="40"/>
          <w:sz w:val="32"/>
          <w:szCs w:val="32"/>
          <w:lang w:val="en-US"/>
        </w:rPr>
      </w:pPr>
      <w:r>
        <w:rPr>
          <w:rFonts w:ascii="Calibri" w:hAnsi="Calibri" w:cs="Calibri"/>
          <w:b/>
          <w:bCs/>
          <w:spacing w:val="40"/>
          <w:sz w:val="32"/>
          <w:szCs w:val="32"/>
          <w:lang w:val="en-US"/>
        </w:rPr>
        <w:t>Zasedání Komory ITI a IPRÚ</w:t>
      </w:r>
    </w:p>
    <w:p w:rsidR="008D5AC9" w:rsidRPr="00113728" w:rsidRDefault="008D5AC9" w:rsidP="00582B8B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Cs w:val="20"/>
        </w:rPr>
      </w:pPr>
    </w:p>
    <w:p w:rsidR="00582B8B" w:rsidRPr="00113728" w:rsidRDefault="00582B8B" w:rsidP="00582B8B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113728">
        <w:rPr>
          <w:rFonts w:asciiTheme="majorHAnsi" w:hAnsiTheme="majorHAnsi" w:cs="Cambria"/>
          <w:b/>
          <w:bCs/>
          <w:sz w:val="20"/>
          <w:szCs w:val="20"/>
        </w:rPr>
        <w:t>A Průběh zasedání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0"/>
      </w:tblGrid>
      <w:tr w:rsidR="00582B8B" w:rsidRPr="00113728" w:rsidTr="00CD3FBA">
        <w:trPr>
          <w:cantSplit/>
          <w:trHeight w:val="10179"/>
        </w:trPr>
        <w:tc>
          <w:tcPr>
            <w:tcW w:w="10590" w:type="dxa"/>
          </w:tcPr>
          <w:p w:rsidR="00582B8B" w:rsidRPr="00BB1AC9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:rsidR="00AE586A" w:rsidRPr="00BB1AC9" w:rsidRDefault="00AE586A" w:rsidP="00AE586A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Bod 1 - Metodické a koordinační aktivity MMR v rámci přípravy in</w:t>
            </w:r>
            <w:r>
              <w:rPr>
                <w:rFonts w:ascii="Cambria" w:hAnsi="Cambria"/>
                <w:b/>
                <w:sz w:val="20"/>
                <w:szCs w:val="20"/>
              </w:rPr>
              <w:t>tegrovaných strategií ITI a IPRÚ</w:t>
            </w:r>
          </w:p>
          <w:p w:rsidR="00AE586A" w:rsidRPr="00BB1AC9" w:rsidRDefault="00AE586A" w:rsidP="00AE586A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A829A2">
              <w:rPr>
                <w:rFonts w:ascii="Cambria" w:hAnsi="Cambria"/>
                <w:sz w:val="20"/>
                <w:szCs w:val="20"/>
              </w:rPr>
              <w:t>David Koppitz, ředitel odboru regionální politiky MMR,</w:t>
            </w:r>
            <w:r w:rsidRPr="00BB1AC9">
              <w:rPr>
                <w:rFonts w:ascii="Cambria" w:hAnsi="Cambria"/>
                <w:sz w:val="20"/>
                <w:szCs w:val="20"/>
              </w:rPr>
              <w:t xml:space="preserve"> zahájil jednání Komory pro ITI a IPRÚ. Uvedl, že předmětem diskuze v této komoře je urbánní dimenze </w:t>
            </w:r>
            <w:r>
              <w:rPr>
                <w:rFonts w:ascii="Cambria" w:hAnsi="Cambria"/>
                <w:sz w:val="20"/>
                <w:szCs w:val="20"/>
              </w:rPr>
              <w:t xml:space="preserve">ESI </w:t>
            </w:r>
            <w:r w:rsidRPr="00BB1AC9">
              <w:rPr>
                <w:rFonts w:ascii="Cambria" w:hAnsi="Cambria"/>
                <w:sz w:val="20"/>
                <w:szCs w:val="20"/>
              </w:rPr>
              <w:t>fondů. Shrnul metodické a koordinační aktivity MMR v rámci přípravy integrovaných strategií a</w:t>
            </w:r>
            <w:r w:rsidRPr="00BB1AC9">
              <w:rPr>
                <w:rFonts w:ascii="Cambria" w:hAnsi="Cambria" w:cs="TTE1F57440t00"/>
                <w:sz w:val="20"/>
                <w:szCs w:val="20"/>
              </w:rPr>
              <w:t xml:space="preserve"> promluvil o aktivitách MMR v roce 2015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>.</w:t>
            </w:r>
            <w:r w:rsidRPr="00BB1AC9">
              <w:rPr>
                <w:rFonts w:ascii="Cambria" w:hAnsi="Cambria" w:cs="TTE1F57440t00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TTE1F57440t00"/>
                <w:bCs/>
                <w:sz w:val="20"/>
                <w:szCs w:val="20"/>
              </w:rPr>
              <w:t>N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>astínil hlavní témata, která se v oblasti implementace integrovaných nástrojů řeší v dalších zemích a není na ně jednotný pohled na úrovni EU</w:t>
            </w:r>
            <w:r w:rsidRPr="00BB1AC9">
              <w:rPr>
                <w:rFonts w:ascii="Cambria" w:hAnsi="Cambria" w:cs="TTE1F57440t00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Cambria" w:hAnsi="Cambria" w:cs="TTE1F57440t00"/>
                <w:bCs/>
                <w:sz w:val="20"/>
                <w:szCs w:val="20"/>
              </w:rPr>
              <w:t>P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 xml:space="preserve">ředstavil projekt Metodického centra pro integrované nástroje při MMR, který </w:t>
            </w:r>
            <w:r>
              <w:rPr>
                <w:rFonts w:ascii="Cambria" w:hAnsi="Cambria" w:cs="TTE1F57440t00"/>
                <w:bCs/>
                <w:sz w:val="20"/>
                <w:szCs w:val="20"/>
              </w:rPr>
              <w:t>poskytne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 xml:space="preserve"> aktivní podporu všem nositelů</w:t>
            </w:r>
            <w:r>
              <w:rPr>
                <w:rFonts w:ascii="Cambria" w:hAnsi="Cambria" w:cs="TTE1F57440t00"/>
                <w:bCs/>
                <w:sz w:val="20"/>
                <w:szCs w:val="20"/>
              </w:rPr>
              <w:t>m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 xml:space="preserve"> integrovaných strategií. Informoval také o databázi strategií, kde budou </w:t>
            </w:r>
            <w:r w:rsidRPr="00BB1AC9">
              <w:rPr>
                <w:rFonts w:ascii="Cambria" w:hAnsi="Cambria"/>
                <w:sz w:val="20"/>
                <w:szCs w:val="20"/>
              </w:rPr>
              <w:t>aktuálních verze dokumentů</w:t>
            </w:r>
            <w:r w:rsidRPr="00BB1AC9">
              <w:rPr>
                <w:rFonts w:ascii="Cambria" w:hAnsi="Cambria" w:cs="TTE1F57440t00"/>
                <w:bCs/>
                <w:sz w:val="20"/>
                <w:szCs w:val="20"/>
              </w:rPr>
              <w:t xml:space="preserve"> zveřejněny.</w:t>
            </w:r>
          </w:p>
          <w:p w:rsidR="00582B8B" w:rsidRPr="00BB1AC9" w:rsidRDefault="00582B8B" w:rsidP="00AD763D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</w:p>
          <w:p w:rsidR="004C1AD8" w:rsidRPr="00BB1AC9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Bod 2 - Jednání ITI a IPRÚ s Řídicími orgány</w:t>
            </w:r>
          </w:p>
          <w:p w:rsidR="0007395B" w:rsidRPr="00D30269" w:rsidRDefault="0007395B" w:rsidP="0007395B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Své aktuální pozice shrnuli zástupci za ITI a IPRÚ:</w:t>
            </w:r>
          </w:p>
          <w:p w:rsidR="0007395B" w:rsidRPr="00D30269" w:rsidRDefault="0007395B" w:rsidP="00DD18A8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</w:pPr>
            <w:r w:rsidRPr="00D30269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>ITI mají zpracovány první verze integrované strategie, které upravují dle připomínek z jednání s ŘO OP. Očekávají další kolo jednání s ŘO s cílem diskutovat</w:t>
            </w:r>
            <w:r w:rsidR="00B43418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 xml:space="preserve"> o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 xml:space="preserve"> konkrétní</w:t>
            </w:r>
            <w:r w:rsidR="00B43418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>ch číslech a indikátorech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>. Apelují na ŘO, aby schůzky proběhly co nejdříve, aby mohli nositelé strategií přistoupit ke schvalovacímu procesu. Pro zpracování a realizaci strategie je důležité nastavení systému implementace integrovaných nástrojů, ukotvení ZS ITI a taktéž otázka finálního složení Řídicích výborů ITI. Apel na aktualizaci MPIN a NDÚD. (Erich Beneš, ITI Plzeň; Marie Zezůlková, ITI Brno)</w:t>
            </w:r>
          </w:p>
          <w:p w:rsidR="0007395B" w:rsidRPr="00D30269" w:rsidRDefault="0007395B" w:rsidP="0007395B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</w:pPr>
            <w:r w:rsidRPr="00D30269">
              <w:rPr>
                <w:rFonts w:ascii="Cambria" w:hAnsi="Cambria" w:cs="TTE1F57440t00"/>
                <w:bCs/>
                <w:sz w:val="20"/>
                <w:szCs w:val="20"/>
                <w:lang w:val="cs-CZ" w:eastAsia="cs-CZ"/>
              </w:rPr>
              <w:t xml:space="preserve">Situace u IPRÚ je obdobná jako u ITI.  Navázání na přípravu před volbami je plynulé. Příprava strategie probíhá na partnerském principu. Strategie IPRÚ jsou limitované v integrovanosti, jsou si svým věcným zaměřením podobné, protože možnosti jsou omezené - průmět je omezený, celková alokace je problematická, stejně tak jako její rozdělení. Ztrácí se synergie, apel na ostatní ŘO na umožnění alespoň bonifikace, nejlépe však alokace z jednotlivých OP pro zajištění plné integrovanosti. (Tomáš Sýkora, IPRÚ Karlovy Vary; Rudolf Chloupek (IPRÚ Jihlava) </w:t>
            </w:r>
          </w:p>
          <w:p w:rsidR="00582B8B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Bod 3 - Reakce Řídicích orgánů</w:t>
            </w:r>
          </w:p>
          <w:p w:rsidR="00874D70" w:rsidRPr="00D30269" w:rsidRDefault="00874D70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/>
                <w:bCs/>
                <w:sz w:val="20"/>
                <w:szCs w:val="20"/>
              </w:rPr>
              <w:t>ŘO IROP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– bilaterární jednání ŘO s ITI a IPRÚ pravidelně probíhají</w:t>
            </w:r>
            <w:r w:rsidR="009E2996">
              <w:rPr>
                <w:rFonts w:ascii="Cambria" w:hAnsi="Cambria" w:cs="TTE1F57440t00"/>
                <w:bCs/>
                <w:sz w:val="20"/>
                <w:szCs w:val="20"/>
              </w:rPr>
              <w:t xml:space="preserve">. </w:t>
            </w:r>
            <w:r w:rsidR="00DD18A8">
              <w:rPr>
                <w:rFonts w:ascii="Cambria" w:hAnsi="Cambria" w:cs="TTE1F57440t00"/>
                <w:bCs/>
                <w:sz w:val="20"/>
                <w:szCs w:val="20"/>
              </w:rPr>
              <w:t>V p</w:t>
            </w:r>
            <w:r w:rsidR="009E2996">
              <w:rPr>
                <w:rFonts w:ascii="Cambria" w:hAnsi="Cambria" w:cs="TTE1F57440t00"/>
                <w:bCs/>
                <w:sz w:val="20"/>
                <w:szCs w:val="20"/>
              </w:rPr>
              <w:t>rvní</w:t>
            </w:r>
            <w:r w:rsidR="00DD18A8">
              <w:rPr>
                <w:rFonts w:ascii="Cambria" w:hAnsi="Cambria" w:cs="TTE1F57440t00"/>
                <w:bCs/>
                <w:sz w:val="20"/>
                <w:szCs w:val="20"/>
              </w:rPr>
              <w:t xml:space="preserve">m kole jednání se diskutovalo </w:t>
            </w:r>
            <w:r w:rsidR="009E2996">
              <w:rPr>
                <w:rFonts w:ascii="Cambria" w:hAnsi="Cambria" w:cs="TTE1F57440t00"/>
                <w:bCs/>
                <w:sz w:val="20"/>
                <w:szCs w:val="20"/>
              </w:rPr>
              <w:t>o věcné</w:t>
            </w:r>
            <w:r w:rsidR="00DD18A8">
              <w:rPr>
                <w:rFonts w:ascii="Cambria" w:hAnsi="Cambria" w:cs="TTE1F57440t00"/>
                <w:bCs/>
                <w:sz w:val="20"/>
                <w:szCs w:val="20"/>
              </w:rPr>
              <w:t>m</w:t>
            </w:r>
            <w:r w:rsidR="009E2996">
              <w:rPr>
                <w:rFonts w:ascii="Cambria" w:hAnsi="Cambria" w:cs="TTE1F57440t00"/>
                <w:bCs/>
                <w:sz w:val="20"/>
                <w:szCs w:val="20"/>
              </w:rPr>
              <w:t xml:space="preserve"> zaměření</w:t>
            </w:r>
            <w:r w:rsidR="00725AD8">
              <w:rPr>
                <w:rFonts w:ascii="Cambria" w:hAnsi="Cambria" w:cs="TTE1F57440t00"/>
                <w:bCs/>
                <w:sz w:val="20"/>
                <w:szCs w:val="20"/>
              </w:rPr>
              <w:t xml:space="preserve"> strategií</w:t>
            </w:r>
            <w:r w:rsidR="009E2996">
              <w:rPr>
                <w:rFonts w:ascii="Cambria" w:hAnsi="Cambria" w:cs="TTE1F57440t00"/>
                <w:bCs/>
                <w:sz w:val="20"/>
                <w:szCs w:val="20"/>
              </w:rPr>
              <w:t>, v dalším kole budou řešeny monitorovací indikátory a vztah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k finančním požadavkům.</w:t>
            </w: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/>
                <w:bCs/>
                <w:sz w:val="20"/>
                <w:szCs w:val="20"/>
              </w:rPr>
              <w:t>ŘO OP VVV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–SC 2 v PO 1</w:t>
            </w:r>
            <w:r w:rsidR="00A12E18">
              <w:rPr>
                <w:rFonts w:ascii="Cambria" w:hAnsi="Cambria" w:cs="TTE1F57440t00"/>
                <w:bCs/>
                <w:sz w:val="20"/>
                <w:szCs w:val="20"/>
              </w:rPr>
              <w:t xml:space="preserve"> </w:t>
            </w:r>
            <w:r w:rsidR="00B17013">
              <w:rPr>
                <w:rFonts w:ascii="Cambria" w:hAnsi="Cambria" w:cs="TTE1F57440t00"/>
                <w:bCs/>
                <w:sz w:val="20"/>
                <w:szCs w:val="20"/>
              </w:rPr>
              <w:t>je otevřen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pro ITI, </w:t>
            </w:r>
            <w:r w:rsidR="00B17013">
              <w:rPr>
                <w:rFonts w:ascii="Cambria" w:hAnsi="Cambria" w:cs="TTE1F57440t00"/>
                <w:bCs/>
                <w:sz w:val="20"/>
                <w:szCs w:val="20"/>
              </w:rPr>
              <w:t xml:space="preserve">je zde vyčleněna alokace. Jednání se všemi ITI probíhaly. 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IPRÚ byl vyřazen z OP na základě připomínky EK, ale ŘO si uvědomuje, že je vázán NDÚD a jsou otevřeni diskusi.</w:t>
            </w: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/>
                <w:bCs/>
                <w:sz w:val="20"/>
                <w:szCs w:val="20"/>
              </w:rPr>
              <w:t>ŘO OP ŽP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– </w:t>
            </w:r>
            <w:r w:rsidR="00E910EF">
              <w:rPr>
                <w:rFonts w:ascii="Cambria" w:hAnsi="Cambria" w:cs="TTE1F57440t00"/>
                <w:bCs/>
                <w:sz w:val="20"/>
                <w:szCs w:val="20"/>
              </w:rPr>
              <w:t xml:space="preserve">rezervovaný přístup k ITI, 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jelikož smyslem FS není regionální podpora</w:t>
            </w:r>
            <w:r w:rsidR="00E910EF">
              <w:rPr>
                <w:rFonts w:ascii="Cambria" w:hAnsi="Cambria" w:cs="TTE1F57440t00"/>
                <w:bCs/>
                <w:sz w:val="20"/>
                <w:szCs w:val="20"/>
              </w:rPr>
              <w:t>. Toto se promítá do alokace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. Již se uskutečnila setkání s ITI Ostrava, HK-Pardubice a Plzeň. </w:t>
            </w:r>
            <w:r w:rsidR="007C24D1">
              <w:rPr>
                <w:rFonts w:ascii="Cambria" w:hAnsi="Cambria" w:cs="TTE1F57440t00"/>
                <w:bCs/>
                <w:sz w:val="20"/>
                <w:szCs w:val="20"/>
              </w:rPr>
              <w:t xml:space="preserve">Není ještě rozhodnuto, jak bude alokace rozdělena. </w:t>
            </w:r>
            <w:r w:rsidR="00772E66">
              <w:rPr>
                <w:rFonts w:ascii="Cambria" w:hAnsi="Cambria" w:cs="TTE1F57440t00"/>
                <w:bCs/>
                <w:sz w:val="20"/>
                <w:szCs w:val="20"/>
              </w:rPr>
              <w:t>P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řislíbena diskuse o uplatnění bonifikace projektů</w:t>
            </w:r>
            <w:r w:rsidR="00030553">
              <w:rPr>
                <w:rFonts w:ascii="Cambria" w:hAnsi="Cambria" w:cs="TTE1F57440t00"/>
                <w:bCs/>
                <w:sz w:val="20"/>
                <w:szCs w:val="20"/>
              </w:rPr>
              <w:t xml:space="preserve"> spadajících</w:t>
            </w:r>
            <w:r w:rsidR="00772E66">
              <w:rPr>
                <w:rFonts w:ascii="Cambria" w:hAnsi="Cambria" w:cs="TTE1F57440t00"/>
                <w:bCs/>
                <w:sz w:val="20"/>
                <w:szCs w:val="20"/>
              </w:rPr>
              <w:t xml:space="preserve"> do strategie IPRÚ (za předpokladu splnění určitých podmínek - 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doložení synergií, ekologický</w:t>
            </w:r>
            <w:r w:rsidR="00030553">
              <w:rPr>
                <w:rFonts w:ascii="Cambria" w:hAnsi="Cambria" w:cs="TTE1F57440t00"/>
                <w:bCs/>
                <w:sz w:val="20"/>
                <w:szCs w:val="20"/>
              </w:rPr>
              <w:t xml:space="preserve"> přínos atd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.).</w:t>
            </w: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031775">
              <w:rPr>
                <w:rFonts w:ascii="Cambria" w:hAnsi="Cambria" w:cs="TTE1F57440t00"/>
                <w:b/>
                <w:bCs/>
                <w:sz w:val="20"/>
                <w:szCs w:val="20"/>
              </w:rPr>
              <w:t xml:space="preserve">ŘO OP PIK </w:t>
            </w:r>
            <w:r w:rsidRPr="00031775">
              <w:rPr>
                <w:rFonts w:ascii="Cambria" w:hAnsi="Cambria" w:cs="TTE1F57440t00"/>
                <w:bCs/>
                <w:sz w:val="20"/>
                <w:szCs w:val="20"/>
              </w:rPr>
              <w:t xml:space="preserve">– </w:t>
            </w:r>
            <w:r w:rsidR="001C7724" w:rsidRPr="00031775">
              <w:rPr>
                <w:rFonts w:ascii="Cambria" w:hAnsi="Cambria" w:cs="TTE1F57440t00"/>
                <w:bCs/>
                <w:sz w:val="20"/>
                <w:szCs w:val="20"/>
              </w:rPr>
              <w:t xml:space="preserve">proběhlo jednání s Plzní a Brnem. S Brnem se plánuje </w:t>
            </w:r>
            <w:r w:rsidR="00014131">
              <w:rPr>
                <w:rFonts w:ascii="Cambria" w:hAnsi="Cambria" w:cs="TTE1F57440t00"/>
                <w:bCs/>
                <w:sz w:val="20"/>
                <w:szCs w:val="20"/>
              </w:rPr>
              <w:t>další jednání. Zástupce p</w:t>
            </w:r>
            <w:r w:rsidRPr="00031775">
              <w:rPr>
                <w:rFonts w:ascii="Cambria" w:hAnsi="Cambria" w:cs="TTE1F57440t00"/>
                <w:bCs/>
                <w:sz w:val="20"/>
                <w:szCs w:val="20"/>
              </w:rPr>
              <w:t>otvrdil, že ŘO nezamýšlí bonifikaci či jinou podporu IPRÚ.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</w:t>
            </w: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/>
                <w:bCs/>
                <w:sz w:val="20"/>
                <w:szCs w:val="20"/>
              </w:rPr>
              <w:t>ŘO OP D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– </w:t>
            </w:r>
            <w:r w:rsidR="00D05113">
              <w:rPr>
                <w:rFonts w:ascii="Cambria" w:hAnsi="Cambria" w:cs="TTE1F57440t00"/>
                <w:bCs/>
                <w:sz w:val="20"/>
                <w:szCs w:val="20"/>
              </w:rPr>
              <w:t xml:space="preserve">systematicky se setkávají s městy. </w:t>
            </w:r>
            <w:r w:rsidR="00CD52DC">
              <w:rPr>
                <w:rFonts w:ascii="Cambria" w:hAnsi="Cambria" w:cs="TTE1F57440t00"/>
                <w:bCs/>
                <w:sz w:val="20"/>
                <w:szCs w:val="20"/>
              </w:rPr>
              <w:t>Mají portfolio projektů, na jehož základě o</w:t>
            </w:r>
            <w:r w:rsidR="00D05113">
              <w:rPr>
                <w:rFonts w:ascii="Cambria" w:hAnsi="Cambria" w:cs="TTE1F57440t00"/>
                <w:bCs/>
                <w:sz w:val="20"/>
                <w:szCs w:val="20"/>
              </w:rPr>
              <w:t>čekávají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spuštění prvních v</w:t>
            </w:r>
            <w:r w:rsidR="00CD52DC">
              <w:rPr>
                <w:rFonts w:ascii="Cambria" w:hAnsi="Cambria" w:cs="TTE1F57440t00"/>
                <w:bCs/>
                <w:sz w:val="20"/>
                <w:szCs w:val="20"/>
              </w:rPr>
              <w:t>ýzev. U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važuje</w:t>
            </w:r>
            <w:r w:rsidR="00014131">
              <w:rPr>
                <w:rFonts w:ascii="Cambria" w:hAnsi="Cambria" w:cs="TTE1F57440t00"/>
                <w:bCs/>
                <w:sz w:val="20"/>
                <w:szCs w:val="20"/>
              </w:rPr>
              <w:t xml:space="preserve"> se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o samostatných výzvách pro IN nebo sérii kontinuálních výzev</w:t>
            </w:r>
            <w:r w:rsidR="004F71EC">
              <w:rPr>
                <w:rFonts w:ascii="Cambria" w:hAnsi="Cambria" w:cs="TTE1F57440t00"/>
                <w:bCs/>
                <w:sz w:val="20"/>
                <w:szCs w:val="20"/>
              </w:rPr>
              <w:t>, kde budou vyčleněny prostředky pro jednotlivé IN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.</w:t>
            </w:r>
            <w:r w:rsidR="0076739B">
              <w:rPr>
                <w:rFonts w:ascii="Cambria" w:hAnsi="Cambria" w:cs="TTE1F57440t00"/>
                <w:bCs/>
                <w:sz w:val="20"/>
                <w:szCs w:val="20"/>
              </w:rPr>
              <w:t xml:space="preserve"> Diskuze s EK o plánech udržitelné mobility.</w:t>
            </w:r>
          </w:p>
          <w:p w:rsidR="00874D70" w:rsidRPr="00D30269" w:rsidRDefault="00874D70" w:rsidP="00874D70">
            <w:pPr>
              <w:jc w:val="both"/>
              <w:rPr>
                <w:rFonts w:ascii="Cambria" w:hAnsi="Cambria" w:cs="TTE1F57440t00"/>
                <w:bCs/>
                <w:sz w:val="20"/>
                <w:szCs w:val="20"/>
              </w:rPr>
            </w:pPr>
            <w:r w:rsidRPr="00D30269">
              <w:rPr>
                <w:rFonts w:ascii="Cambria" w:hAnsi="Cambria" w:cs="TTE1F57440t00"/>
                <w:b/>
                <w:bCs/>
                <w:sz w:val="20"/>
                <w:szCs w:val="20"/>
              </w:rPr>
              <w:t>ŘO OP Z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–</w:t>
            </w:r>
            <w:r w:rsidR="00014131">
              <w:rPr>
                <w:rFonts w:ascii="Cambria" w:hAnsi="Cambria" w:cs="TTE1F57440t00"/>
                <w:bCs/>
                <w:sz w:val="20"/>
                <w:szCs w:val="20"/>
              </w:rPr>
              <w:t xml:space="preserve"> </w:t>
            </w:r>
            <w:r w:rsidR="00727D1A">
              <w:rPr>
                <w:rFonts w:ascii="Cambria" w:hAnsi="Cambria" w:cs="TTE1F57440t00"/>
                <w:bCs/>
                <w:sz w:val="20"/>
                <w:szCs w:val="20"/>
              </w:rPr>
              <w:t>probíhají</w:t>
            </w:r>
            <w:r w:rsidR="00480F5B">
              <w:rPr>
                <w:rFonts w:ascii="Cambria" w:hAnsi="Cambria" w:cs="TTE1F57440t00"/>
                <w:bCs/>
                <w:sz w:val="20"/>
                <w:szCs w:val="20"/>
              </w:rPr>
              <w:t xml:space="preserve"> bilaterární</w:t>
            </w:r>
            <w:r w:rsidR="00727D1A">
              <w:rPr>
                <w:rFonts w:ascii="Cambria" w:hAnsi="Cambria" w:cs="TTE1F57440t00"/>
                <w:bCs/>
                <w:sz w:val="20"/>
                <w:szCs w:val="20"/>
              </w:rPr>
              <w:t xml:space="preserve"> </w:t>
            </w:r>
            <w:r w:rsidR="00014131">
              <w:rPr>
                <w:rFonts w:ascii="Cambria" w:hAnsi="Cambria" w:cs="TTE1F57440t00"/>
                <w:bCs/>
                <w:sz w:val="20"/>
                <w:szCs w:val="20"/>
              </w:rPr>
              <w:t xml:space="preserve">jednání </w:t>
            </w:r>
            <w:r w:rsidR="00727D1A">
              <w:rPr>
                <w:rFonts w:ascii="Cambria" w:hAnsi="Cambria" w:cs="TTE1F57440t00"/>
                <w:bCs/>
                <w:sz w:val="20"/>
                <w:szCs w:val="20"/>
              </w:rPr>
              <w:t>včetně</w:t>
            </w:r>
            <w:r w:rsidR="00480F5B">
              <w:rPr>
                <w:rFonts w:ascii="Cambria" w:hAnsi="Cambria" w:cs="TTE1F57440t00"/>
                <w:bCs/>
                <w:sz w:val="20"/>
                <w:szCs w:val="20"/>
              </w:rPr>
              <w:t xml:space="preserve"> diskuze</w:t>
            </w:r>
            <w:r w:rsidR="00727D1A">
              <w:rPr>
                <w:rFonts w:ascii="Cambria" w:hAnsi="Cambria" w:cs="TTE1F57440t00"/>
                <w:bCs/>
                <w:sz w:val="20"/>
                <w:szCs w:val="20"/>
              </w:rPr>
              <w:t xml:space="preserve"> nad projektovými záměry</w:t>
            </w:r>
            <w:r w:rsidR="00501C62">
              <w:rPr>
                <w:rFonts w:ascii="Cambria" w:hAnsi="Cambria" w:cs="TTE1F57440t00"/>
                <w:bCs/>
                <w:sz w:val="20"/>
                <w:szCs w:val="20"/>
              </w:rPr>
              <w:t xml:space="preserve">. </w:t>
            </w:r>
            <w:r w:rsidR="005D271A">
              <w:rPr>
                <w:rFonts w:ascii="Cambria" w:hAnsi="Cambria" w:cs="TTE1F57440t00"/>
                <w:bCs/>
                <w:sz w:val="20"/>
                <w:szCs w:val="20"/>
              </w:rPr>
              <w:t>S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ITI a IPRÚ </w:t>
            </w:r>
            <w:r w:rsidR="005D271A">
              <w:rPr>
                <w:rFonts w:ascii="Cambria" w:hAnsi="Cambria" w:cs="TTE1F57440t00"/>
                <w:bCs/>
                <w:sz w:val="20"/>
                <w:szCs w:val="20"/>
              </w:rPr>
              <w:t>se zatím</w:t>
            </w:r>
            <w:r w:rsidR="00187A08">
              <w:rPr>
                <w:rFonts w:ascii="Cambria" w:hAnsi="Cambria" w:cs="TTE1F57440t00"/>
                <w:bCs/>
                <w:sz w:val="20"/>
                <w:szCs w:val="20"/>
              </w:rPr>
              <w:t xml:space="preserve"> poněkud</w:t>
            </w:r>
            <w:r w:rsidR="005D271A">
              <w:rPr>
                <w:rFonts w:ascii="Cambria" w:hAnsi="Cambria" w:cs="TTE1F57440t00"/>
                <w:bCs/>
                <w:sz w:val="20"/>
                <w:szCs w:val="20"/>
              </w:rPr>
              <w:t xml:space="preserve"> rozcházejí v alokacích a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 xml:space="preserve"> </w:t>
            </w:r>
            <w:r w:rsidR="005D271A">
              <w:rPr>
                <w:rFonts w:ascii="Cambria" w:hAnsi="Cambria" w:cs="TTE1F57440t00"/>
                <w:bCs/>
                <w:sz w:val="20"/>
                <w:szCs w:val="20"/>
              </w:rPr>
              <w:t>investiční</w:t>
            </w:r>
            <w:r w:rsidR="00187A08">
              <w:rPr>
                <w:rFonts w:ascii="Cambria" w:hAnsi="Cambria" w:cs="TTE1F57440t00"/>
                <w:bCs/>
                <w:sz w:val="20"/>
                <w:szCs w:val="20"/>
              </w:rPr>
              <w:t>ch</w:t>
            </w:r>
            <w:r w:rsidR="005D271A">
              <w:rPr>
                <w:rFonts w:ascii="Cambria" w:hAnsi="Cambria" w:cs="TTE1F57440t00"/>
                <w:bCs/>
                <w:sz w:val="20"/>
                <w:szCs w:val="20"/>
              </w:rPr>
              <w:t xml:space="preserve"> prioritách, do kterých by ITI a IPRÚ chtělo směřovat</w:t>
            </w:r>
            <w:r w:rsidRPr="00D30269">
              <w:rPr>
                <w:rFonts w:ascii="Cambria" w:hAnsi="Cambria" w:cs="TTE1F57440t00"/>
                <w:bCs/>
                <w:sz w:val="20"/>
                <w:szCs w:val="20"/>
              </w:rPr>
              <w:t>.</w:t>
            </w:r>
          </w:p>
          <w:p w:rsidR="00582B8B" w:rsidRPr="00BB1AC9" w:rsidRDefault="00582B8B" w:rsidP="00AD763D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82B8B" w:rsidRPr="00BB1AC9" w:rsidRDefault="00582B8B" w:rsidP="00874D70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82B8B" w:rsidRPr="00113728" w:rsidTr="00CD3F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928"/>
        </w:trPr>
        <w:tc>
          <w:tcPr>
            <w:tcW w:w="10590" w:type="dxa"/>
            <w:shd w:val="clear" w:color="auto" w:fill="auto"/>
          </w:tcPr>
          <w:p w:rsidR="00874D70" w:rsidRDefault="00874D70" w:rsidP="00874D7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lastRenderedPageBreak/>
              <w:t>Bod 4 - Aktuální podoba MPIN, systém specifických výzev</w:t>
            </w:r>
          </w:p>
          <w:p w:rsidR="00874D70" w:rsidRPr="00BB1AC9" w:rsidRDefault="00874D70" w:rsidP="00874D70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A829A2">
              <w:rPr>
                <w:rFonts w:ascii="Cambria" w:hAnsi="Cambria"/>
                <w:sz w:val="20"/>
                <w:szCs w:val="20"/>
              </w:rPr>
              <w:t>Iveta Baťalová představila</w:t>
            </w:r>
            <w:r w:rsidRPr="00BB1AC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aktuální podobu</w:t>
            </w:r>
            <w:r w:rsidRPr="00BB1AC9">
              <w:rPr>
                <w:rFonts w:ascii="Cambria" w:eastAsiaTheme="minorHAnsi" w:hAnsi="Cambria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 xml:space="preserve">Metodického pokynu pro využití integrovaných nástrojů v programovém období 2014-2020.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Dne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6. 3. 2015 byl rozeslán draft dílčí aktualizace MPIN k připomínkám ŘO, MMR-NOK, MMR-OSMS a nositelům I</w:t>
            </w:r>
            <w:r>
              <w:rPr>
                <w:rFonts w:ascii="Cambria" w:hAnsi="Cambria"/>
                <w:bCs/>
                <w:sz w:val="20"/>
                <w:szCs w:val="20"/>
              </w:rPr>
              <w:t>N. Byly aktualizovány kapitoly povinná struktura integrovaných strategií a jejich h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odnocení a sc</w:t>
            </w:r>
            <w:r>
              <w:rPr>
                <w:rFonts w:ascii="Cambria" w:hAnsi="Cambria"/>
                <w:bCs/>
                <w:sz w:val="20"/>
                <w:szCs w:val="20"/>
              </w:rPr>
              <w:t>hvalování a h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 xml:space="preserve">odnotící kritéria IN. </w:t>
            </w:r>
            <w:r>
              <w:rPr>
                <w:rFonts w:ascii="Cambria" w:hAnsi="Cambria"/>
                <w:sz w:val="20"/>
                <w:szCs w:val="20"/>
              </w:rPr>
              <w:t xml:space="preserve">Informovala </w:t>
            </w:r>
            <w:r w:rsidRPr="00BB1AC9">
              <w:rPr>
                <w:rFonts w:ascii="Cambria" w:hAnsi="Cambria"/>
                <w:sz w:val="20"/>
                <w:szCs w:val="20"/>
              </w:rPr>
              <w:t xml:space="preserve">o okruzích </w:t>
            </w:r>
            <w:r>
              <w:rPr>
                <w:rFonts w:ascii="Cambria" w:hAnsi="Cambria"/>
                <w:sz w:val="20"/>
                <w:szCs w:val="20"/>
              </w:rPr>
              <w:t xml:space="preserve">nejpodstatnějších </w:t>
            </w:r>
            <w:r w:rsidRPr="00BB1AC9">
              <w:rPr>
                <w:rFonts w:ascii="Cambria" w:hAnsi="Cambria"/>
                <w:sz w:val="20"/>
                <w:szCs w:val="20"/>
              </w:rPr>
              <w:t>připomínek</w:t>
            </w:r>
            <w:r>
              <w:rPr>
                <w:rFonts w:ascii="Cambria" w:hAnsi="Cambria"/>
                <w:sz w:val="20"/>
                <w:szCs w:val="20"/>
              </w:rPr>
              <w:t xml:space="preserve"> od nositelů IN a ŘO</w:t>
            </w:r>
            <w:r w:rsidRPr="00BB1AC9">
              <w:rPr>
                <w:rFonts w:ascii="Cambria" w:hAnsi="Cambria"/>
                <w:sz w:val="20"/>
                <w:szCs w:val="20"/>
              </w:rPr>
              <w:t xml:space="preserve">.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 xml:space="preserve">Připomínky jsou nyní vypořádávány a souběžně je zahájena i práce na dalších kapitolách. </w:t>
            </w:r>
          </w:p>
          <w:p w:rsidR="00874D70" w:rsidRPr="00BB1AC9" w:rsidRDefault="00874D70" w:rsidP="00874D70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874D70" w:rsidRPr="00BB1AC9" w:rsidRDefault="00874D70" w:rsidP="00874D70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A829A2">
              <w:rPr>
                <w:rFonts w:ascii="Cambria" w:hAnsi="Cambria"/>
                <w:sz w:val="20"/>
                <w:szCs w:val="20"/>
              </w:rPr>
              <w:t>David Koppitz</w:t>
            </w:r>
            <w:r w:rsidRPr="00BB1AC9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představil dva modely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výzev pro integrované nástroje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: z</w:t>
            </w:r>
            <w:r>
              <w:rPr>
                <w:rFonts w:ascii="Cambria" w:hAnsi="Cambria"/>
                <w:bCs/>
                <w:sz w:val="20"/>
                <w:szCs w:val="20"/>
              </w:rPr>
              <w:t>acílené a kombinované výzvy pro 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integrované projekty</w:t>
            </w:r>
            <w:r>
              <w:rPr>
                <w:rFonts w:ascii="Cambria" w:hAnsi="Cambria"/>
                <w:bCs/>
                <w:sz w:val="20"/>
                <w:szCs w:val="20"/>
              </w:rPr>
              <w:t>, vyzdvihl výhody a nevýhody každého z modelů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.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:rsidR="00834152" w:rsidRPr="00BB1AC9" w:rsidRDefault="00834152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:rsidR="00AE586A" w:rsidRDefault="00AE586A" w:rsidP="00AE586A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Bod 5 - Právní nositelství ITI</w:t>
            </w:r>
          </w:p>
          <w:p w:rsidR="00AE586A" w:rsidRDefault="00AE586A" w:rsidP="00AE586A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BB1AC9">
              <w:rPr>
                <w:rFonts w:ascii="Cambria" w:hAnsi="Cambria"/>
                <w:sz w:val="20"/>
                <w:szCs w:val="20"/>
              </w:rPr>
              <w:t xml:space="preserve">Oldřich Praus informoval o problematice právního nositelství ITI, zaměřil se na 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 xml:space="preserve">funkci zprostředkujícího subjektu, veřejnoprávní smlouvu a obsah činností </w:t>
            </w:r>
            <w:r>
              <w:rPr>
                <w:rFonts w:ascii="Cambria" w:hAnsi="Cambria"/>
                <w:bCs/>
                <w:sz w:val="20"/>
                <w:szCs w:val="20"/>
              </w:rPr>
              <w:t>ZS</w:t>
            </w:r>
            <w:r w:rsidRPr="00BB1AC9">
              <w:rPr>
                <w:rFonts w:ascii="Cambria" w:hAnsi="Cambria"/>
                <w:bCs/>
                <w:sz w:val="20"/>
                <w:szCs w:val="20"/>
              </w:rPr>
              <w:t>.</w:t>
            </w:r>
          </w:p>
          <w:p w:rsidR="006806A1" w:rsidRDefault="006806A1" w:rsidP="00AD763D">
            <w:pPr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:rsidR="00AE586A" w:rsidRPr="00BB1AC9" w:rsidRDefault="00AE586A" w:rsidP="00AE586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Reakce: Erich Beneš – města ITI s návrhem nesouhlasí, ale berou jej na vědomí. Očekávají další diskuzi na půdorysu EK- MMR – města ITI k vyjasnění implementace. </w:t>
            </w:r>
          </w:p>
          <w:p w:rsidR="00582B8B" w:rsidRPr="00BB1AC9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:rsidR="00582B8B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Bod 6 - Shrnutí závěrů z jednání komory</w:t>
            </w:r>
          </w:p>
          <w:p w:rsidR="000B7189" w:rsidRPr="00BB1AC9" w:rsidRDefault="000B7189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:rsidR="00D57FC1" w:rsidRPr="00BB1AC9" w:rsidRDefault="00D57FC1" w:rsidP="00D57FC1">
            <w:pPr>
              <w:numPr>
                <w:ilvl w:val="0"/>
                <w:numId w:val="2"/>
              </w:num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bCs/>
                <w:sz w:val="20"/>
                <w:szCs w:val="20"/>
              </w:rPr>
              <w:t>Členové komory se shodli na tom, že je při vyjednávání třeba hledat kompromisní řešení vyplývající z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OP i z integrovaných strategií.</w:t>
            </w:r>
          </w:p>
          <w:p w:rsidR="00D57FC1" w:rsidRPr="00D57FC1" w:rsidRDefault="00D57FC1" w:rsidP="00D57FC1">
            <w:pPr>
              <w:numPr>
                <w:ilvl w:val="0"/>
                <w:numId w:val="2"/>
              </w:num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 w:rsidRPr="00AA02AF">
              <w:rPr>
                <w:rFonts w:ascii="Cambria" w:hAnsi="Cambria"/>
                <w:sz w:val="20"/>
                <w:szCs w:val="20"/>
              </w:rPr>
              <w:t xml:space="preserve">OP ŽP přislíbilo </w:t>
            </w:r>
            <w:r w:rsidR="004A69F7" w:rsidRPr="00AA02AF">
              <w:rPr>
                <w:rFonts w:ascii="Cambria" w:hAnsi="Cambria"/>
                <w:sz w:val="20"/>
                <w:szCs w:val="20"/>
              </w:rPr>
              <w:t>další diskuzi o průmětu ITI</w:t>
            </w:r>
            <w:r w:rsidRPr="00AA02AF">
              <w:rPr>
                <w:rFonts w:ascii="Cambria" w:hAnsi="Cambria"/>
                <w:sz w:val="20"/>
                <w:szCs w:val="20"/>
              </w:rPr>
              <w:t xml:space="preserve"> a o </w:t>
            </w:r>
            <w:r w:rsidRPr="00D95270">
              <w:rPr>
                <w:rFonts w:ascii="Cambria" w:hAnsi="Cambria"/>
                <w:sz w:val="20"/>
                <w:szCs w:val="20"/>
              </w:rPr>
              <w:t xml:space="preserve">uplatnění bonifikace pro IPRÚ; </w:t>
            </w:r>
            <w:r w:rsidR="00DD18A8">
              <w:rPr>
                <w:rFonts w:ascii="Cambria" w:hAnsi="Cambria"/>
                <w:sz w:val="20"/>
                <w:szCs w:val="20"/>
              </w:rPr>
              <w:t>OP VVV přizve</w:t>
            </w:r>
            <w:r w:rsidR="006B197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DD18A8">
              <w:rPr>
                <w:rFonts w:ascii="Cambria" w:hAnsi="Cambria"/>
                <w:sz w:val="20"/>
                <w:szCs w:val="20"/>
              </w:rPr>
              <w:t>nositele</w:t>
            </w:r>
            <w:r w:rsidR="006B197A" w:rsidRPr="006B197A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197A">
              <w:rPr>
                <w:rFonts w:ascii="Cambria" w:hAnsi="Cambria"/>
                <w:sz w:val="20"/>
                <w:szCs w:val="20"/>
              </w:rPr>
              <w:t>ITI a IPRÚ k tvorbě KAP/MAP. I</w:t>
            </w:r>
            <w:r w:rsidRPr="00D57FC1">
              <w:rPr>
                <w:rFonts w:ascii="Cambria" w:hAnsi="Cambria"/>
                <w:sz w:val="20"/>
                <w:szCs w:val="20"/>
              </w:rPr>
              <w:t>ROP, OP Z a OP D pokračuje v sériích bilaterárních schůzek s ITI a IPRÚ. Obdobně i OP PIK by měl přistoupit k pokračování diskuse s ITI a IPRÚ.</w:t>
            </w:r>
          </w:p>
          <w:p w:rsidR="00D57FC1" w:rsidRPr="00372D26" w:rsidRDefault="00D57FC1" w:rsidP="00D57FC1">
            <w:pPr>
              <w:numPr>
                <w:ilvl w:val="0"/>
                <w:numId w:val="2"/>
              </w:numPr>
              <w:spacing w:after="16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72D26">
              <w:rPr>
                <w:rFonts w:ascii="Cambria" w:hAnsi="Cambria"/>
                <w:b/>
                <w:sz w:val="20"/>
                <w:szCs w:val="20"/>
              </w:rPr>
              <w:t>Preferencí MMR je vyhlašování zacílených výzev pro integrované projekty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  <w:r w:rsidRPr="00372D26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D57FC1" w:rsidRPr="00BB1AC9" w:rsidRDefault="00D57FC1" w:rsidP="00D57FC1">
            <w:pPr>
              <w:numPr>
                <w:ilvl w:val="0"/>
                <w:numId w:val="2"/>
              </w:num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 w:rsidRPr="00BB1AC9">
              <w:rPr>
                <w:rFonts w:ascii="Cambria" w:hAnsi="Cambria"/>
                <w:sz w:val="20"/>
                <w:szCs w:val="20"/>
              </w:rPr>
              <w:t>Prezentován způsob řešení nositelství ITI – funkce a obsah činností ZS ITI a povaha veřejnoprávní smlouvy uzavíra</w:t>
            </w:r>
            <w:r>
              <w:rPr>
                <w:rFonts w:ascii="Cambria" w:hAnsi="Cambria"/>
                <w:sz w:val="20"/>
                <w:szCs w:val="20"/>
              </w:rPr>
              <w:t>né mezi jádrovým městem a ŘO OP.</w:t>
            </w:r>
          </w:p>
          <w:p w:rsidR="00D57FC1" w:rsidRPr="00BB1AC9" w:rsidRDefault="00D57FC1" w:rsidP="00D57FC1">
            <w:pPr>
              <w:numPr>
                <w:ilvl w:val="0"/>
                <w:numId w:val="2"/>
              </w:num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Shoda na v</w:t>
            </w:r>
            <w:r w:rsidRPr="00BB1AC9">
              <w:rPr>
                <w:rFonts w:ascii="Cambria" w:hAnsi="Cambria"/>
                <w:sz w:val="20"/>
                <w:szCs w:val="20"/>
              </w:rPr>
              <w:t>yvolání společného jednání MMR, nositelů ITI a EK zejména k vyjasn</w:t>
            </w:r>
            <w:r>
              <w:rPr>
                <w:rFonts w:ascii="Cambria" w:hAnsi="Cambria"/>
                <w:sz w:val="20"/>
                <w:szCs w:val="20"/>
              </w:rPr>
              <w:t>ění obsahu odpovědnosti měst za </w:t>
            </w:r>
            <w:r w:rsidRPr="00BB1AC9">
              <w:rPr>
                <w:rFonts w:ascii="Cambria" w:hAnsi="Cambria"/>
                <w:sz w:val="20"/>
                <w:szCs w:val="20"/>
              </w:rPr>
              <w:t>výběr operací</w:t>
            </w:r>
          </w:p>
          <w:p w:rsidR="00582B8B" w:rsidRPr="00BB1AC9" w:rsidRDefault="00582B8B" w:rsidP="00AD763D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B1AC9">
              <w:rPr>
                <w:rFonts w:ascii="Cambria" w:hAnsi="Cambria"/>
                <w:b/>
                <w:sz w:val="20"/>
                <w:szCs w:val="20"/>
              </w:rPr>
              <w:t>Návrhy usnesení</w:t>
            </w:r>
          </w:p>
          <w:p w:rsidR="00582B8B" w:rsidRPr="00BB1AC9" w:rsidRDefault="00582B8B" w:rsidP="00AD763D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  <w:r w:rsidRPr="00BB1AC9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 xml:space="preserve">Usnesení č. NSK-02/2015: Národní stálá konference bere na vědomí </w:t>
            </w:r>
            <w:r w:rsidRPr="00BB1AC9">
              <w:rPr>
                <w:rFonts w:ascii="Cambria" w:hAnsi="Cambria"/>
                <w:bCs/>
                <w:sz w:val="20"/>
                <w:szCs w:val="20"/>
                <w:lang w:val="cs-CZ"/>
              </w:rPr>
              <w:t xml:space="preserve">aktuální informace o právních aspektech nositelství </w:t>
            </w:r>
            <w:r w:rsidR="00086D89">
              <w:rPr>
                <w:rFonts w:ascii="Cambria" w:hAnsi="Cambria"/>
                <w:bCs/>
                <w:sz w:val="20"/>
                <w:szCs w:val="20"/>
                <w:lang w:val="cs-CZ"/>
              </w:rPr>
              <w:t xml:space="preserve">ITI </w:t>
            </w:r>
            <w:r w:rsidRPr="00BB1AC9">
              <w:rPr>
                <w:rFonts w:ascii="Cambria" w:hAnsi="Cambria"/>
                <w:bCs/>
                <w:sz w:val="20"/>
                <w:szCs w:val="20"/>
                <w:lang w:val="cs-CZ"/>
              </w:rPr>
              <w:t>dle materiálu č. NSK-KURB-03-2015-01.</w:t>
            </w:r>
          </w:p>
          <w:p w:rsidR="00582B8B" w:rsidRPr="00BB1AC9" w:rsidRDefault="00582B8B" w:rsidP="00AD763D">
            <w:pPr>
              <w:pStyle w:val="Odstavecseseznamem"/>
              <w:spacing w:before="0" w:beforeAutospacing="0" w:after="160" w:afterAutospacing="0" w:line="259" w:lineRule="auto"/>
              <w:ind w:left="1080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</w:p>
          <w:p w:rsidR="00582B8B" w:rsidRPr="00BB1AC9" w:rsidRDefault="0092668C" w:rsidP="00AD763D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59" w:lineRule="auto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  <w:r w:rsidRPr="007E7156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>Usnesení č. NSK-</w:t>
            </w:r>
            <w:r w:rsidRPr="00D61398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>0</w:t>
            </w:r>
            <w:r w:rsidR="007E7156" w:rsidRPr="00D61398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>3</w:t>
            </w:r>
            <w:r w:rsidR="00582B8B" w:rsidRPr="007E7156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>/2015</w:t>
            </w:r>
            <w:r w:rsidR="00582B8B" w:rsidRPr="00BB1AC9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 xml:space="preserve">: Národní stálá konference doporučuje </w:t>
            </w:r>
            <w:r w:rsidR="00582B8B" w:rsidRPr="00BB1AC9">
              <w:rPr>
                <w:rFonts w:ascii="Cambria" w:hAnsi="Cambria"/>
                <w:bCs/>
                <w:sz w:val="20"/>
                <w:szCs w:val="20"/>
                <w:lang w:val="cs-CZ"/>
              </w:rPr>
              <w:t>Řídicím orgánům a nositelům integrovaných nástrojů ITI a IPRÚ pokračovat ve dvoustranných jednáních o promítnutí požadavků a potřeb v území do zpracovávaných integrovaných strategií a informovat MMR o výsledcích jednání, T: 30. 4. 2015.</w:t>
            </w:r>
          </w:p>
          <w:p w:rsidR="00582B8B" w:rsidRPr="00BB1AC9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</w:tbl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2B46BA" w:rsidRDefault="002B46BA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8D5AC9" w:rsidRDefault="008D5AC9" w:rsidP="003E2AF4">
      <w:pPr>
        <w:pStyle w:val="Zhlav"/>
        <w:tabs>
          <w:tab w:val="left" w:pos="1920"/>
        </w:tabs>
        <w:jc w:val="both"/>
        <w:rPr>
          <w:rFonts w:ascii="Calibri" w:hAnsi="Calibri" w:cs="Calibri"/>
          <w:b/>
          <w:bCs/>
          <w:spacing w:val="40"/>
          <w:sz w:val="32"/>
          <w:szCs w:val="32"/>
          <w:lang w:val="en-US"/>
        </w:rPr>
      </w:pPr>
    </w:p>
    <w:p w:rsidR="008D5AC9" w:rsidRPr="00237A89" w:rsidRDefault="008D5AC9" w:rsidP="00AD763D">
      <w:pPr>
        <w:pStyle w:val="Zhlav"/>
        <w:tabs>
          <w:tab w:val="left" w:pos="1920"/>
        </w:tabs>
        <w:ind w:left="-1276"/>
        <w:jc w:val="both"/>
        <w:rPr>
          <w:rFonts w:ascii="Calibri" w:hAnsi="Calibri" w:cs="Calibri"/>
          <w:b/>
          <w:bCs/>
          <w:spacing w:val="40"/>
          <w:sz w:val="32"/>
          <w:szCs w:val="32"/>
          <w:lang w:val="en-US"/>
        </w:rPr>
      </w:pPr>
      <w:r>
        <w:rPr>
          <w:rFonts w:ascii="Calibri" w:hAnsi="Calibri" w:cs="Calibri"/>
          <w:b/>
          <w:bCs/>
          <w:spacing w:val="40"/>
          <w:sz w:val="32"/>
          <w:szCs w:val="32"/>
          <w:lang w:val="en-US"/>
        </w:rPr>
        <w:lastRenderedPageBreak/>
        <w:t>Zasedání komory regionální</w:t>
      </w:r>
    </w:p>
    <w:p w:rsidR="00582B8B" w:rsidRPr="00C177F1" w:rsidRDefault="00582B8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Cs w:val="20"/>
        </w:rPr>
      </w:pPr>
    </w:p>
    <w:p w:rsidR="00582B8B" w:rsidRPr="00430DDD" w:rsidRDefault="00582B8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430DDD">
        <w:rPr>
          <w:rFonts w:asciiTheme="majorHAnsi" w:hAnsiTheme="majorHAnsi" w:cs="Cambria"/>
          <w:b/>
          <w:bCs/>
          <w:sz w:val="20"/>
          <w:szCs w:val="20"/>
        </w:rPr>
        <w:t xml:space="preserve">A </w:t>
      </w:r>
      <w:r>
        <w:rPr>
          <w:rFonts w:asciiTheme="majorHAnsi" w:hAnsiTheme="majorHAnsi" w:cs="Cambria"/>
          <w:b/>
          <w:bCs/>
          <w:sz w:val="20"/>
          <w:szCs w:val="20"/>
        </w:rPr>
        <w:t>Průběh zased</w:t>
      </w:r>
      <w:r w:rsidRPr="00430DDD">
        <w:rPr>
          <w:rFonts w:asciiTheme="majorHAnsi" w:hAnsiTheme="majorHAnsi" w:cs="Cambria"/>
          <w:b/>
          <w:bCs/>
          <w:sz w:val="20"/>
          <w:szCs w:val="20"/>
        </w:rPr>
        <w:t>ání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0"/>
      </w:tblGrid>
      <w:tr w:rsidR="00582B8B" w:rsidRPr="006A043A" w:rsidTr="00CD3FBA">
        <w:trPr>
          <w:cantSplit/>
          <w:trHeight w:val="10179"/>
        </w:trPr>
        <w:tc>
          <w:tcPr>
            <w:tcW w:w="10590" w:type="dxa"/>
          </w:tcPr>
          <w:p w:rsidR="001B427F" w:rsidRPr="000B03E1" w:rsidRDefault="001B427F" w:rsidP="001B427F">
            <w:pPr>
              <w:spacing w:after="120" w:line="280" w:lineRule="exact"/>
              <w:jc w:val="both"/>
              <w:rPr>
                <w:rFonts w:asciiTheme="majorHAnsi" w:hAnsiTheme="majorHAnsi" w:cs="Cambria"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sz w:val="20"/>
                <w:szCs w:val="20"/>
              </w:rPr>
              <w:t xml:space="preserve">Bod 1 – Klára Dostálová, 1. náměstkyně ministryně pro místní rozvoj, </w:t>
            </w:r>
            <w:r w:rsidRPr="000B03E1">
              <w:rPr>
                <w:rFonts w:asciiTheme="majorHAnsi" w:hAnsiTheme="majorHAnsi" w:cs="Cambria"/>
                <w:sz w:val="20"/>
                <w:szCs w:val="20"/>
              </w:rPr>
              <w:t xml:space="preserve">zahájila zasedání regionální komory. Připomenula vývoj RSK/RAP, představila očekávání MMR vůči zpracovávaným regionálním akčním plánům a činnosti RSK a zmínila aktuální výzvy jejich dalšího vývoje. </w:t>
            </w:r>
          </w:p>
          <w:p w:rsidR="001B427F" w:rsidRPr="000B03E1" w:rsidRDefault="001B427F" w:rsidP="001B427F">
            <w:pPr>
              <w:spacing w:after="120" w:line="280" w:lineRule="exact"/>
              <w:jc w:val="both"/>
              <w:rPr>
                <w:rFonts w:asciiTheme="majorHAnsi" w:hAnsiTheme="majorHAnsi" w:cs="Cambria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 xml:space="preserve">Bod 2  - </w:t>
            </w:r>
            <w:r w:rsidRPr="000B03E1">
              <w:rPr>
                <w:rFonts w:asciiTheme="majorHAnsi" w:hAnsiTheme="majorHAnsi" w:cs="Cambria"/>
                <w:sz w:val="20"/>
                <w:szCs w:val="20"/>
              </w:rPr>
              <w:t>Jednotliví zástupci RSK komentovali dosavadní výsledky a průběh zasedání, ustanovení a činnost pracovních skupin apod. Na adresu MMR a Řídicích orgánů vznesli zástupci RSK dotazy v návaznosti na vlastní zkušenosti z oblasti fungování RSK a tvorby RAP, např. Jak bude financován sekretariát RSK? Má být členem/stálým hostem RSK zástupce katolické církve po vzoru RSK pro území Jihomoravského kraje? Bude před finalizací RAP uskutečněno další metodické setkání k jeho tvorbě? Budou v programovém období 2014-2020 realizovány regionální individuální projekty z OP Z? – reakce viz bod 4 – odstavec Závěry ze zasedání regionální komory NSK.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 xml:space="preserve">Bod 3 – Rostislav Mazal (IROP) ve spolupráci s RNDr. Zitou Kučerovou (RSK Královehradeckého kraje) 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prezentovali příklad výstupu RAP pro IROP a možnosti jeho aplikace jednak v území, jednak Řídicím orgánem. 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Bod  4 - Aktuální informace o územní dimenzi v jednotlivých OP, diskuze.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V rámci daného bodu vystoupili zástupci přítomných řídicích orgánů.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Pavel Rosol (OP PIK)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připomenul pojetí ÚD v programu jako uplatnění bonifikace u projektů v hospodářsky problémových regionech a územích s vysokou mírou nezaměstnanosti, které vychází z usnesení vlády č. 344 a 952 z roku 2013. ŘO nad rámec NDÚD zvažuje podporu regionů (okresů) s vyšší mírou nezaměstnanosti napříč všemi programy a všemi SC prostřednictvím bonifikace – vyplynulo z debat nad výzvami, obdobně i u OP VVV, bude navrženo k dodatečnému doplnění do programu. OP PIK nepočítá v programu s nástrojem IPRÚ. ŘO vnímá RSK jako zdroj informací o absorpční kapacitě v území.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Jitka Baťková (OP VVV)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informovala o aktuálním stavu vyjednávání programu, upozornila na odlišnou implementační logiku programu  - PO 2 a 3 naplňovány intervencemi a výzvami vyhlašovanými napříč SC dané prioritní osy tak, aby subjekty mohly komplexně řešit svoje potřeby a nemusely předkládat větší počet projektů. U regionálního školství bude většina intervencí realizována formou výzev na zjednodušené vykazování, tzn. šablonové projekty pro školy (první výz</w:t>
            </w:r>
            <w:r w:rsidR="00A96B85">
              <w:rPr>
                <w:rFonts w:asciiTheme="majorHAnsi" w:hAnsiTheme="majorHAnsi"/>
                <w:sz w:val="20"/>
                <w:szCs w:val="20"/>
              </w:rPr>
              <w:t>vy plánovány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od 1.Q 2016). OP VVV předpokládá zapojení RSK v procesu rozdělení území pro tvorbu MAP tak, aby se zabránilo překryvům území a současně území kraje pokryly celé. V rámci přípravy KAP počítá ŘO OP VVV se zapojením PS „Vzdělávání“ příslušné RSK. OP VVV apeluje na šíření informací o KAP a MAP v území. ŘO vnímá RAP  pouze v obecné rovině.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Václav Čermák (OP Z)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ujistil o pokračování regionálních individuálních projektů úřadu práce (RIP) v novém programovém období. Dále připomenul význam sociálně vyloučených lokalit pro celý program, Koordinovaný přístup k řešení sociálně vyloučených lokalit a představil způsob využití informací z RAP, kdy ŘO bude zajímat věcné zaměření výzev a absorpční kapacita v území (budou vyhlašovány výzvy přes více SC - obdobně jako v OP VVV). Deklarována připravenost na individuální jednání s nositeli IN.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 xml:space="preserve">Barbora Holková (OP ŽP) 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>připomenula výrazně nižší alokaci OP oproti předchozímu programovému období a existenci národních priorit, doporučující charakter závěrů vydaných NSK a to s ohledem na řadu podnětů nezbytných a zohledňovaných při vyhlašování výzev – doporučení budou sloužit ke z</w:t>
            </w:r>
            <w:r w:rsidR="002B3365">
              <w:rPr>
                <w:rFonts w:asciiTheme="majorHAnsi" w:hAnsiTheme="majorHAnsi"/>
                <w:sz w:val="20"/>
                <w:szCs w:val="20"/>
              </w:rPr>
              <w:t>jišťování absorpční kapacity. V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případě zohledňování usnesení vlády č. 952/2013 (zacílení výzev do MSK a ÚLK kraje) je uvažována bonifikace.</w:t>
            </w:r>
          </w:p>
          <w:p w:rsidR="00582B8B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Jana Zelinková (OP D)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 xml:space="preserve"> shrnula, že ÚD je pro OP D spíše okrajovým tématem. Program primárně cílí na budování liniových staveb. Z pohledu ŘO není zapojení RSK ohledně absorpční kapacity nutné, ŘO zvažuje možnost spolupráce s územními aktéry při projednávání komplikovaných projektů a průběžně komunikuje s nositeli IN (ITI i IPRÚ).</w:t>
            </w:r>
          </w:p>
          <w:p w:rsidR="00582B8B" w:rsidRPr="00C56599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82B8B" w:rsidRPr="00C56599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C56599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582B8B" w:rsidRPr="006A043A" w:rsidTr="00CD3F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928"/>
        </w:trPr>
        <w:tc>
          <w:tcPr>
            <w:tcW w:w="10590" w:type="dxa"/>
            <w:shd w:val="clear" w:color="auto" w:fill="auto"/>
          </w:tcPr>
          <w:p w:rsidR="00834152" w:rsidRDefault="00834152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</w:rPr>
              <w:t>Závěry ze zasedání regionální komory NSK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Systém RSK je implementován a jsou připravována další zasedání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RSK očekávají zintenzivnění procesu metodické podpory zpracování RAP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MMR</w:t>
            </w: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>dokončuje metodiku tvorby</w:t>
            </w: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>Regionálních akčních plánů SRR 2014-2020 s termínem rozeslání k 10. 4. 2015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MMR přislíbilo poskytnout metodickou podporu formou dodatečného metodického setkání k tvorbě RAP před jejich odevzdáním k 30. dubnu 2015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Zakomponování člena regionálních kolegií (oblast cestovního ruchu) mezi členy RSK vyplyne z výsledku připomínkového řízení a postoje regionů k návrhu MMR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V případě zacílených výzev je uvažováno jejich vyhlašování i pro území nižší než území krajů – např. sociální lokality (úroveň ORP), regiony se zvýšenou podporou státu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Financování sekretariátu RSK bude zabezpečeno prostřednictvím OP TP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MMR nepředpokládá povinné zapojení zástupce římskokatolické církve po vzoru RSK Jihomoravského kraje jako stálého hosta každé RSK – na zvážení jednotlivých RSK</w:t>
            </w:r>
          </w:p>
          <w:p w:rsidR="001B427F" w:rsidRPr="000B03E1" w:rsidRDefault="001B427F" w:rsidP="001B427F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MŠMT prezentovalo návrh předpokládající zapojení RSK v procesu rozdělení území pro tvorbu MAP</w:t>
            </w:r>
          </w:p>
          <w:p w:rsidR="001B427F" w:rsidRPr="000B03E1" w:rsidRDefault="001B427F" w:rsidP="001B427F">
            <w:pPr>
              <w:pStyle w:val="Default"/>
              <w:spacing w:line="276" w:lineRule="auto"/>
              <w:ind w:left="7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Usnesení č. NSK-04/2015: Národní stálá konference 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bere na vědomí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informace o aktuálním stavu Regionálních akčních plánů SRR 2014-2020</w:t>
            </w:r>
            <w:r>
              <w:rPr>
                <w:rFonts w:asciiTheme="majorHAnsi" w:hAnsiTheme="majorHAnsi" w:cs="Cambria"/>
                <w:bCs/>
                <w:sz w:val="20"/>
                <w:szCs w:val="20"/>
              </w:rPr>
              <w:t>.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NSK-05/2015: Národní stálá konference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MMR</w:t>
            </w: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dokončit metodiku tvorby</w:t>
            </w: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Regionálních akčních plánů SRR 2014-2020, T: 10. 4. 2015</w:t>
            </w:r>
            <w:r>
              <w:rPr>
                <w:rFonts w:asciiTheme="majorHAnsi" w:hAnsiTheme="majorHAnsi" w:cs="Cambria"/>
                <w:bCs/>
                <w:sz w:val="20"/>
                <w:szCs w:val="20"/>
              </w:rPr>
              <w:t>.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 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NSK-06/2015: Národní stálá konference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ŘO jednat s Regionálními stálými konferencemi pod vedením MMR o promítnutí vzájemných potřeb do Regionálních akčních plánů SRR 2014-2020 a informovat o výsledcích sekretariát NSK, T: 31. 5. 2015</w:t>
            </w:r>
            <w:r>
              <w:rPr>
                <w:rFonts w:asciiTheme="majorHAnsi" w:hAnsiTheme="majorHAnsi" w:cs="Cambria"/>
                <w:bCs/>
                <w:sz w:val="20"/>
                <w:szCs w:val="20"/>
              </w:rPr>
              <w:t>.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 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NSK-07/2015: Národní stálá konference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Komorám NSK nominovat své zástupce do platforem jednotlivých OP pro plánování výzev, T: 3. 4. 2015</w:t>
            </w:r>
            <w:r>
              <w:rPr>
                <w:rFonts w:asciiTheme="majorHAnsi" w:hAnsiTheme="majorHAnsi" w:cs="Cambria"/>
                <w:bCs/>
                <w:sz w:val="20"/>
                <w:szCs w:val="20"/>
              </w:rPr>
              <w:t>.</w:t>
            </w: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</w:p>
          <w:p w:rsidR="001B427F" w:rsidRPr="000B03E1" w:rsidRDefault="001B427F" w:rsidP="001B427F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NSK-08/2015: Národní stálá konference</w:t>
            </w:r>
          </w:p>
          <w:p w:rsidR="00582B8B" w:rsidRDefault="001B427F" w:rsidP="001B427F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1B427F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>I.</w:t>
            </w:r>
            <w:r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 </w:t>
            </w: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doporučuje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ŘO, které nezřizují ZS v souladu s čl. 7 Nařízení o EFRR, zajistit účast zástupců všech tří Komor NSK ve všech platformách jednotlivých OP pro plánování výzev. </w:t>
            </w:r>
          </w:p>
          <w:p w:rsidR="001B427F" w:rsidRPr="004D06DB" w:rsidRDefault="001B427F" w:rsidP="001B427F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</w:p>
        </w:tc>
      </w:tr>
    </w:tbl>
    <w:p w:rsidR="00582B8B" w:rsidRPr="006A043A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6A043A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582B8B" w:rsidRDefault="00582B8B" w:rsidP="00AD763D">
      <w:pPr>
        <w:jc w:val="both"/>
      </w:pPr>
    </w:p>
    <w:p w:rsidR="008D5AC9" w:rsidRPr="00D80F5F" w:rsidRDefault="008D5AC9" w:rsidP="009E1F68">
      <w:pPr>
        <w:pStyle w:val="Zhlav"/>
        <w:tabs>
          <w:tab w:val="left" w:pos="1920"/>
        </w:tabs>
        <w:jc w:val="both"/>
        <w:rPr>
          <w:rFonts w:ascii="Calibri" w:hAnsi="Calibri" w:cs="Calibri"/>
          <w:b/>
          <w:bCs/>
          <w:spacing w:val="40"/>
          <w:sz w:val="32"/>
          <w:szCs w:val="32"/>
        </w:rPr>
      </w:pPr>
    </w:p>
    <w:p w:rsidR="008D5AC9" w:rsidRPr="00237A89" w:rsidRDefault="008D5AC9" w:rsidP="00AD763D">
      <w:pPr>
        <w:pStyle w:val="Zhlav"/>
        <w:tabs>
          <w:tab w:val="left" w:pos="1920"/>
        </w:tabs>
        <w:ind w:left="-1276"/>
        <w:jc w:val="both"/>
        <w:rPr>
          <w:rFonts w:ascii="Calibri" w:hAnsi="Calibri" w:cs="Calibri"/>
          <w:b/>
          <w:bCs/>
          <w:spacing w:val="40"/>
          <w:sz w:val="32"/>
          <w:szCs w:val="32"/>
          <w:lang w:val="en-US"/>
        </w:rPr>
      </w:pPr>
      <w:r>
        <w:rPr>
          <w:rFonts w:ascii="Calibri" w:hAnsi="Calibri" w:cs="Calibri"/>
          <w:b/>
          <w:bCs/>
          <w:spacing w:val="40"/>
          <w:sz w:val="32"/>
          <w:szCs w:val="32"/>
          <w:lang w:val="en-US"/>
        </w:rPr>
        <w:lastRenderedPageBreak/>
        <w:t>Zasedání komory CLLD</w:t>
      </w:r>
    </w:p>
    <w:p w:rsidR="00582B8B" w:rsidRPr="00113728" w:rsidRDefault="00582B8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Cs w:val="20"/>
        </w:rPr>
      </w:pPr>
    </w:p>
    <w:p w:rsidR="00582B8B" w:rsidRPr="00113728" w:rsidRDefault="00582B8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113728">
        <w:rPr>
          <w:rFonts w:asciiTheme="majorHAnsi" w:hAnsiTheme="majorHAnsi" w:cs="Cambria"/>
          <w:b/>
          <w:bCs/>
          <w:sz w:val="20"/>
          <w:szCs w:val="20"/>
        </w:rPr>
        <w:t>A Průběh zasedání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0"/>
      </w:tblGrid>
      <w:tr w:rsidR="00582B8B" w:rsidRPr="00113728" w:rsidTr="00840F64">
        <w:trPr>
          <w:cantSplit/>
          <w:trHeight w:val="9532"/>
        </w:trPr>
        <w:tc>
          <w:tcPr>
            <w:tcW w:w="10590" w:type="dxa"/>
          </w:tcPr>
          <w:p w:rsidR="00E57D24" w:rsidRDefault="00E57D24" w:rsidP="00AD763D">
            <w:pPr>
              <w:spacing w:after="120" w:line="280" w:lineRule="exact"/>
              <w:ind w:right="198"/>
              <w:jc w:val="both"/>
              <w:rPr>
                <w:rFonts w:asciiTheme="majorHAnsi" w:hAnsiTheme="majorHAnsi" w:cs="Cambria"/>
                <w:b/>
                <w:sz w:val="20"/>
                <w:szCs w:val="20"/>
              </w:rPr>
            </w:pPr>
          </w:p>
          <w:p w:rsidR="00582B8B" w:rsidRPr="00113728" w:rsidRDefault="00582B8B" w:rsidP="00AD763D">
            <w:pPr>
              <w:spacing w:after="120" w:line="280" w:lineRule="exact"/>
              <w:ind w:right="-8"/>
              <w:jc w:val="both"/>
              <w:rPr>
                <w:rFonts w:asciiTheme="majorHAnsi" w:hAnsiTheme="majorHAnsi" w:cs="Cambria"/>
                <w:sz w:val="20"/>
                <w:szCs w:val="20"/>
              </w:rPr>
            </w:pPr>
            <w:r w:rsidRPr="00113728">
              <w:rPr>
                <w:rFonts w:asciiTheme="majorHAnsi" w:hAnsiTheme="majorHAnsi" w:cs="Cambria"/>
                <w:b/>
                <w:sz w:val="20"/>
                <w:szCs w:val="20"/>
              </w:rPr>
              <w:t>Bod 1 – František Kubeš</w:t>
            </w:r>
            <w:r w:rsidR="00DF2E6D">
              <w:rPr>
                <w:rFonts w:asciiTheme="majorHAnsi" w:hAnsiTheme="majorHAnsi" w:cs="Cambria"/>
                <w:b/>
                <w:sz w:val="20"/>
                <w:szCs w:val="20"/>
              </w:rPr>
              <w:t xml:space="preserve"> (</w:t>
            </w:r>
            <w:r w:rsidRPr="00113728">
              <w:rPr>
                <w:rFonts w:asciiTheme="majorHAnsi" w:hAnsiTheme="majorHAnsi" w:cs="Cambria"/>
                <w:b/>
                <w:sz w:val="20"/>
                <w:szCs w:val="20"/>
              </w:rPr>
              <w:t xml:space="preserve">vedoucí </w:t>
            </w:r>
            <w:r>
              <w:rPr>
                <w:rFonts w:asciiTheme="majorHAnsi" w:hAnsiTheme="majorHAnsi" w:cs="Cambria"/>
                <w:b/>
                <w:sz w:val="20"/>
                <w:szCs w:val="20"/>
              </w:rPr>
              <w:t>oddělení u</w:t>
            </w:r>
            <w:r w:rsidRPr="00113728">
              <w:rPr>
                <w:rFonts w:asciiTheme="majorHAnsi" w:hAnsiTheme="majorHAnsi" w:cs="Cambria"/>
                <w:b/>
                <w:sz w:val="20"/>
                <w:szCs w:val="20"/>
              </w:rPr>
              <w:t xml:space="preserve">rbánní politiky </w:t>
            </w:r>
            <w:r w:rsidR="00DF2E6D">
              <w:rPr>
                <w:rFonts w:asciiTheme="majorHAnsi" w:hAnsiTheme="majorHAnsi" w:cs="Cambria"/>
                <w:b/>
                <w:sz w:val="20"/>
                <w:szCs w:val="20"/>
              </w:rPr>
              <w:t>odboru regionální politiky</w:t>
            </w:r>
            <w:r w:rsidRPr="00113728">
              <w:rPr>
                <w:rFonts w:asciiTheme="majorHAnsi" w:hAnsiTheme="majorHAnsi" w:cs="Cambria"/>
                <w:b/>
                <w:sz w:val="20"/>
                <w:szCs w:val="20"/>
              </w:rPr>
              <w:t xml:space="preserve"> MMR)</w:t>
            </w:r>
            <w:r>
              <w:rPr>
                <w:rFonts w:asciiTheme="majorHAnsi" w:hAnsiTheme="majorHAnsi" w:cs="Cambria"/>
                <w:b/>
                <w:sz w:val="20"/>
                <w:szCs w:val="20"/>
              </w:rPr>
              <w:t xml:space="preserve"> 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zahájil zasedání komory CLLD</w:t>
            </w:r>
            <w:r w:rsidR="00792CFD">
              <w:rPr>
                <w:rFonts w:asciiTheme="majorHAnsi" w:hAnsiTheme="majorHAnsi" w:cs="Cambria"/>
                <w:sz w:val="20"/>
                <w:szCs w:val="20"/>
              </w:rPr>
              <w:t>.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</w:t>
            </w:r>
            <w:r w:rsidR="006806A1">
              <w:rPr>
                <w:rFonts w:asciiTheme="majorHAnsi" w:hAnsiTheme="majorHAnsi" w:cs="Cambria"/>
                <w:sz w:val="20"/>
                <w:szCs w:val="20"/>
              </w:rPr>
              <w:t>I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nformoval o metodické a koordinační činnosti MMR, tj. existenc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i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Platformy k CLLD (dosud 5 setkání), </w:t>
            </w:r>
            <w:r w:rsidR="00E57D24">
              <w:rPr>
                <w:rFonts w:asciiTheme="majorHAnsi" w:hAnsiTheme="majorHAnsi" w:cs="Cambria"/>
                <w:sz w:val="20"/>
                <w:szCs w:val="20"/>
              </w:rPr>
              <w:t xml:space="preserve">probíhajícím 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posouzení prvních 50 </w:t>
            </w:r>
            <w:r w:rsidR="00A97ECE">
              <w:rPr>
                <w:rFonts w:asciiTheme="majorHAnsi" w:hAnsiTheme="majorHAnsi" w:cs="Cambria"/>
                <w:sz w:val="20"/>
                <w:szCs w:val="20"/>
              </w:rPr>
              <w:t xml:space="preserve">strategií 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CLLD v rámci evaluace výzvy OP TP</w:t>
            </w:r>
            <w:r w:rsidR="00DF2E6D">
              <w:rPr>
                <w:rFonts w:asciiTheme="majorHAnsi" w:hAnsiTheme="majorHAnsi" w:cs="Cambria"/>
                <w:sz w:val="20"/>
                <w:szCs w:val="20"/>
              </w:rPr>
              <w:t xml:space="preserve"> č. 2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, příprav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ě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celostátního semináře k CLLD</w:t>
            </w:r>
            <w:r w:rsidR="00E57D24" w:rsidRPr="00113728">
              <w:rPr>
                <w:rFonts w:asciiTheme="majorHAnsi" w:hAnsiTheme="majorHAnsi" w:cs="Cambria"/>
                <w:sz w:val="20"/>
                <w:szCs w:val="20"/>
              </w:rPr>
              <w:t xml:space="preserve"> </w:t>
            </w:r>
            <w:r w:rsidR="00E57D24">
              <w:rPr>
                <w:rFonts w:asciiTheme="majorHAnsi" w:hAnsiTheme="majorHAnsi" w:cs="Cambria"/>
                <w:sz w:val="20"/>
                <w:szCs w:val="20"/>
              </w:rPr>
              <w:t xml:space="preserve">ve </w:t>
            </w:r>
            <w:r w:rsidR="00E57D24" w:rsidRPr="00113728">
              <w:rPr>
                <w:rFonts w:asciiTheme="majorHAnsi" w:hAnsiTheme="majorHAnsi" w:cs="Cambria"/>
                <w:sz w:val="20"/>
                <w:szCs w:val="20"/>
              </w:rPr>
              <w:t>spoluprác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i</w:t>
            </w:r>
            <w:r w:rsidR="00E57D24" w:rsidRPr="00113728">
              <w:rPr>
                <w:rFonts w:asciiTheme="majorHAnsi" w:hAnsiTheme="majorHAnsi" w:cs="Cambria"/>
                <w:sz w:val="20"/>
                <w:szCs w:val="20"/>
              </w:rPr>
              <w:t xml:space="preserve"> s NS MAS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 xml:space="preserve"> a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projekt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u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</w:t>
            </w:r>
            <w:r w:rsidR="00FC7796" w:rsidRPr="00113728">
              <w:rPr>
                <w:rFonts w:asciiTheme="majorHAnsi" w:hAnsiTheme="majorHAnsi" w:cs="Cambria"/>
                <w:sz w:val="20"/>
                <w:szCs w:val="20"/>
              </w:rPr>
              <w:t xml:space="preserve">Metodického centra pro integrované nástroje 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(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MEDUIN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 xml:space="preserve">), který je zaměřen na 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>příprav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u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dalších expertních posouzení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 xml:space="preserve"> a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organizac</w:t>
            </w:r>
            <w:r w:rsidR="00FC7796">
              <w:rPr>
                <w:rFonts w:asciiTheme="majorHAnsi" w:hAnsiTheme="majorHAnsi" w:cs="Cambria"/>
                <w:sz w:val="20"/>
                <w:szCs w:val="20"/>
              </w:rPr>
              <w:t>i</w:t>
            </w:r>
            <w:r w:rsidR="00AD763D">
              <w:rPr>
                <w:rFonts w:asciiTheme="majorHAnsi" w:hAnsiTheme="majorHAnsi" w:cs="Cambria"/>
                <w:sz w:val="20"/>
                <w:szCs w:val="20"/>
              </w:rPr>
              <w:t xml:space="preserve"> seminářů ve </w:t>
            </w:r>
            <w:r w:rsidR="00792CFD">
              <w:rPr>
                <w:rFonts w:asciiTheme="majorHAnsi" w:hAnsiTheme="majorHAnsi" w:cs="Cambria"/>
                <w:sz w:val="20"/>
                <w:szCs w:val="20"/>
              </w:rPr>
              <w:t>spolupráci s KS MAS,</w:t>
            </w:r>
            <w:r w:rsidRPr="00113728">
              <w:rPr>
                <w:rFonts w:asciiTheme="majorHAnsi" w:hAnsiTheme="majorHAnsi" w:cs="Cambria"/>
                <w:sz w:val="20"/>
                <w:szCs w:val="20"/>
              </w:rPr>
              <w:t xml:space="preserve"> a zároveň představil realizační tým. 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b/>
                <w:sz w:val="20"/>
                <w:szCs w:val="20"/>
              </w:rPr>
              <w:t>Bod 2 – Jan Florián (místopředseda Národn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í sítě místních akčních skupin</w:t>
            </w:r>
            <w:r w:rsidR="00DF2E6D">
              <w:rPr>
                <w:rFonts w:asciiTheme="majorHAnsi" w:hAnsiTheme="majorHAnsi"/>
                <w:b/>
                <w:sz w:val="20"/>
                <w:szCs w:val="20"/>
              </w:rPr>
              <w:t xml:space="preserve"> ČR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Pr="0011372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prezentoval </w:t>
            </w:r>
            <w:r w:rsidR="00FC7796">
              <w:rPr>
                <w:rFonts w:asciiTheme="majorHAnsi" w:hAnsiTheme="majorHAnsi"/>
                <w:sz w:val="20"/>
                <w:szCs w:val="20"/>
              </w:rPr>
              <w:t xml:space="preserve">aktuální stav přípravy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integrovan</w:t>
            </w:r>
            <w:r w:rsidR="00FC7796">
              <w:rPr>
                <w:rFonts w:asciiTheme="majorHAnsi" w:hAnsiTheme="majorHAnsi"/>
                <w:sz w:val="20"/>
                <w:szCs w:val="20"/>
              </w:rPr>
              <w:t>ých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strategi</w:t>
            </w:r>
            <w:r w:rsidR="00FC7796">
              <w:rPr>
                <w:rFonts w:asciiTheme="majorHAnsi" w:hAnsiTheme="majorHAnsi"/>
                <w:sz w:val="20"/>
                <w:szCs w:val="20"/>
              </w:rPr>
              <w:t>í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CLLD. Zaměřil se na územní působnost MAS, jejich aktuální úkoly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="001E0119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-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aktualiz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ace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stanov dle </w:t>
            </w:r>
            <w:r w:rsidR="00FC7796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Nového občanského zákoníku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a požadavků Standardizace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MAS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(zajišťována 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>SZIF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)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,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uspořád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ání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jednání nejvyššího orgánu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MAS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, 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volba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člen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ů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povinných orgánů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MAS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,  registrac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e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na rejstříkové soudy, dokonč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ení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podklad</w:t>
            </w:r>
            <w:r w:rsidR="00A97ECE">
              <w:rPr>
                <w:rFonts w:asciiTheme="majorHAnsi" w:hAnsiTheme="majorHAnsi" w:cs="Arial"/>
                <w:color w:val="auto"/>
                <w:sz w:val="20"/>
                <w:szCs w:val="20"/>
              </w:rPr>
              <w:t>ů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pro Standardizaci MAS (SZIF), </w:t>
            </w:r>
            <w:r w:rsidR="00E57D24" w:rsidRPr="00113728">
              <w:rPr>
                <w:rFonts w:asciiTheme="majorHAnsi" w:hAnsiTheme="majorHAnsi" w:cs="Arial"/>
                <w:sz w:val="20"/>
                <w:szCs w:val="20"/>
              </w:rPr>
              <w:t>dokonč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 xml:space="preserve">ení </w:t>
            </w:r>
            <w:r w:rsidR="00E57D24" w:rsidRPr="00113728">
              <w:rPr>
                <w:rFonts w:asciiTheme="majorHAnsi" w:hAnsiTheme="majorHAnsi" w:cs="Arial"/>
                <w:sz w:val="20"/>
                <w:szCs w:val="20"/>
              </w:rPr>
              <w:t>Strategie CLLD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>,</w:t>
            </w:r>
            <w:r w:rsidR="00E57D24" w:rsidRPr="00113728" w:rsidDel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>př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íprava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žádost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>i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o podporu zpracování </w:t>
            </w:r>
            <w:r w:rsidR="00A97ECE">
              <w:rPr>
                <w:rFonts w:asciiTheme="majorHAnsi" w:hAnsiTheme="majorHAnsi" w:cs="Arial"/>
                <w:color w:val="auto"/>
                <w:sz w:val="20"/>
                <w:szCs w:val="20"/>
              </w:rPr>
              <w:t>M</w:t>
            </w:r>
            <w:r w:rsidR="00DF2E6D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ístních akčních plánů vzdělávání </w:t>
            </w:r>
            <w:r w:rsidR="00380B7A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-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MAP (OP VVV)</w:t>
            </w:r>
            <w:r w:rsidR="00E57D24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. 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</w:p>
          <w:p w:rsidR="00A97ECE" w:rsidRDefault="00A97ECE" w:rsidP="00AD763D">
            <w:pPr>
              <w:pStyle w:val="Default"/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Dále uvedl, že 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>112 MAS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které byly 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>podpořen</w:t>
            </w:r>
            <w:r>
              <w:rPr>
                <w:rFonts w:asciiTheme="majorHAnsi" w:hAnsiTheme="majorHAnsi" w:cs="Arial"/>
                <w:sz w:val="20"/>
                <w:szCs w:val="20"/>
              </w:rPr>
              <w:t>y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 xml:space="preserve"> v rámci IV.1.1. </w:t>
            </w:r>
            <w:r w:rsidR="00380B7A" w:rsidRPr="00113728">
              <w:rPr>
                <w:rFonts w:asciiTheme="majorHAnsi" w:hAnsiTheme="majorHAnsi" w:cs="Arial"/>
                <w:sz w:val="20"/>
                <w:szCs w:val="20"/>
              </w:rPr>
              <w:t>PRV</w:t>
            </w:r>
            <w:r w:rsidR="00380B7A">
              <w:rPr>
                <w:rFonts w:asciiTheme="majorHAnsi" w:hAnsiTheme="majorHAnsi" w:cs="Arial"/>
                <w:sz w:val="20"/>
                <w:szCs w:val="20"/>
              </w:rPr>
              <w:t>,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 xml:space="preserve">má povinnost </w:t>
            </w:r>
            <w:r w:rsidR="00380B7A">
              <w:rPr>
                <w:rFonts w:asciiTheme="majorHAnsi" w:hAnsiTheme="majorHAnsi" w:cs="Arial"/>
                <w:sz w:val="20"/>
                <w:szCs w:val="20"/>
              </w:rPr>
              <w:t xml:space="preserve">provést 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>audit režijních výdajů SPL za rok 2014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 xml:space="preserve"> a 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>závěrečnou evaluaci SPL za celé období 2008-</w:t>
            </w:r>
            <w:r>
              <w:rPr>
                <w:rFonts w:asciiTheme="majorHAnsi" w:hAnsiTheme="majorHAnsi" w:cs="Arial"/>
                <w:sz w:val="20"/>
                <w:szCs w:val="20"/>
              </w:rPr>
              <w:t>20</w:t>
            </w:r>
            <w:r w:rsidR="00582B8B" w:rsidRPr="00113728">
              <w:rPr>
                <w:rFonts w:asciiTheme="majorHAnsi" w:hAnsiTheme="majorHAnsi" w:cs="Arial"/>
                <w:sz w:val="20"/>
                <w:szCs w:val="20"/>
              </w:rPr>
              <w:t>14</w:t>
            </w:r>
            <w:r w:rsidR="00E57D24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  <w:p w:rsidR="00582B8B" w:rsidRPr="00113728" w:rsidRDefault="00E57D24" w:rsidP="00AD763D">
            <w:pPr>
              <w:pStyle w:val="Default"/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="00582B8B" w:rsidRPr="00113728">
              <w:rPr>
                <w:rFonts w:asciiTheme="majorHAnsi" w:hAnsiTheme="majorHAnsi"/>
                <w:sz w:val="20"/>
                <w:szCs w:val="20"/>
              </w:rPr>
              <w:t>roblémy a aktuální body k řešení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82B8B"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upřesnění úkolů MAS v rámci administrace Strategií CLLD,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="00582B8B"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vzorce pro rozdělení alokací na jednotlivé MAS, definice způsobilých výdajů na režijní výdaje MAS, účast na tvorbě prováděcích pravidel a metodik pro konečné příjemce, využití zkušeností z předchozího období</w:t>
            </w:r>
            <w:r w:rsidR="00582B8B" w:rsidRPr="00113728">
              <w:rPr>
                <w:rFonts w:ascii="Calibri" w:hAnsi="Calibri" w:cs="Calibri"/>
              </w:rPr>
              <w:t xml:space="preserve">, </w:t>
            </w:r>
            <w:r w:rsidR="00582B8B">
              <w:rPr>
                <w:rFonts w:asciiTheme="majorHAnsi" w:hAnsiTheme="majorHAnsi" w:cs="Arial"/>
                <w:color w:val="auto"/>
                <w:sz w:val="20"/>
                <w:szCs w:val="20"/>
              </w:rPr>
              <w:t>pr</w:t>
            </w:r>
            <w:r w:rsidR="00582B8B"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>o konzultace s jednotlivými ŘO má NS MAS ČR vytvořenu Pracovní skupinu LEADER.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</w:rPr>
            </w:pPr>
          </w:p>
          <w:p w:rsidR="00582B8B" w:rsidRPr="00113728" w:rsidRDefault="00582B8B" w:rsidP="00AD763D">
            <w:pPr>
              <w:pStyle w:val="Default"/>
              <w:tabs>
                <w:tab w:val="left" w:pos="10170"/>
              </w:tabs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E0119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Bod 3 –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Pr="00113728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František Kubeš</w:t>
            </w:r>
            <w:r w:rsidRPr="00113728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shrnul témata projednávaná na Platformě k CLLD </w:t>
            </w:r>
            <w:r w:rsidR="001E0119">
              <w:rPr>
                <w:rFonts w:asciiTheme="majorHAnsi" w:hAnsiTheme="majorHAnsi"/>
                <w:sz w:val="20"/>
                <w:szCs w:val="20"/>
              </w:rPr>
              <w:t>- s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tandardizace MAS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1E0119" w:rsidRPr="00113728">
              <w:rPr>
                <w:rFonts w:asciiTheme="majorHAnsi" w:hAnsiTheme="majorHAnsi"/>
                <w:sz w:val="20"/>
                <w:szCs w:val="20"/>
              </w:rPr>
              <w:t>probíhá</w:t>
            </w:r>
            <w:r w:rsidR="00AD763D">
              <w:rPr>
                <w:rFonts w:asciiTheme="majorHAnsi" w:hAnsiTheme="majorHAnsi"/>
                <w:sz w:val="20"/>
                <w:szCs w:val="20"/>
              </w:rPr>
              <w:t xml:space="preserve"> v souladu s 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usnesením vlády č. 368/2014 o Metodice pro standardizaci místních akčních skupin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 a byla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zahájena 24. 11. 2014</w:t>
            </w:r>
            <w:r w:rsidR="001E0119">
              <w:rPr>
                <w:rFonts w:asciiTheme="majorHAnsi" w:hAnsiTheme="majorHAnsi"/>
                <w:sz w:val="20"/>
                <w:szCs w:val="20"/>
              </w:rPr>
              <w:t>; d</w:t>
            </w:r>
            <w:r w:rsidR="00660AD9">
              <w:rPr>
                <w:rFonts w:asciiTheme="majorHAnsi" w:hAnsiTheme="majorHAnsi"/>
                <w:sz w:val="20"/>
                <w:szCs w:val="20"/>
              </w:rPr>
              <w:t xml:space="preserve">osud 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bylo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podáno 74 žádostí, žádosti jsou doplňovány na základě „chybníků“, zatím nebylo vydáno žádné osvědčení), povinnost MAS dodržovat plnění podmínek standardizace v průběhu programového období, plánovaný posun termínu vyhlášení první výzvy na příjem strategií CLLD vzhledem k celkovému zpoždění schvalování programů a návaznému dopracování integrovaných strategií MAS na červenec 2015 (původní termín 25. 2. 2015), probíhající aktualizace Metodického pokynu pro využití integrovaných nástrojů v programovém období 2014 - 2020 (MPIN) – termín duben 2015, vymezení rozsahu činností, které mají vykonávat MAS a ŘO v rámci implementace, administrace MAS v MS 2014+, schvalování hodnotících kritérií, hodnocení projektů v rámci (pod)výzev MAS</w:t>
            </w:r>
            <w:r w:rsidR="001E0119">
              <w:rPr>
                <w:rFonts w:asciiTheme="majorHAnsi" w:hAnsiTheme="majorHAnsi"/>
                <w:sz w:val="20"/>
                <w:szCs w:val="20"/>
              </w:rPr>
              <w:t>, v</w:t>
            </w:r>
            <w:r w:rsidR="0073567A">
              <w:rPr>
                <w:rFonts w:asciiTheme="majorHAnsi" w:hAnsiTheme="majorHAnsi"/>
                <w:sz w:val="20"/>
                <w:szCs w:val="20"/>
              </w:rPr>
              <w:t>ý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běr oprávněných MAS OP Z a OP ŽP.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3567A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E011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  <w:r w:rsidR="001E0119" w:rsidRPr="001E011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E0119">
              <w:rPr>
                <w:rFonts w:asciiTheme="majorHAnsi" w:hAnsiTheme="majorHAnsi"/>
                <w:b/>
                <w:sz w:val="20"/>
                <w:szCs w:val="20"/>
              </w:rPr>
              <w:t xml:space="preserve">4- </w:t>
            </w:r>
            <w:r w:rsidR="0073567A" w:rsidRPr="001E0119">
              <w:rPr>
                <w:rFonts w:asciiTheme="majorHAnsi" w:hAnsiTheme="majorHAnsi"/>
                <w:b/>
                <w:sz w:val="20"/>
                <w:szCs w:val="20"/>
              </w:rPr>
              <w:t>Různé</w:t>
            </w:r>
            <w:r w:rsidR="0073567A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Pr="00113728">
              <w:rPr>
                <w:rFonts w:asciiTheme="majorHAnsi" w:hAnsiTheme="majorHAnsi"/>
                <w:b/>
                <w:sz w:val="20"/>
                <w:szCs w:val="20"/>
              </w:rPr>
              <w:t>zástupci ŘO a zastřešující organizací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– prezentovali své vstupy</w:t>
            </w:r>
            <w:r w:rsidR="0073567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3567A" w:rsidRDefault="0073567A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diskuze ke kritériím zahrnutým do vzorce MPSV pro výběr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oprávněných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MAS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  <w:p w:rsidR="0073567A" w:rsidRDefault="0073567A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- z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ástupci KS MAS upozornili na procesní problémy standardizace MAS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73567A" w:rsidRPr="00113728" w:rsidRDefault="0073567A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návrh MPSV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– možnost realizace klíčov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ých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projekt</w:t>
            </w:r>
            <w:r>
              <w:rPr>
                <w:rFonts w:asciiTheme="majorHAnsi" w:hAnsiTheme="majorHAnsi"/>
                <w:sz w:val="20"/>
                <w:szCs w:val="20"/>
              </w:rPr>
              <w:t>ů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MAS </w:t>
            </w:r>
            <w:r w:rsidR="008C48F5">
              <w:rPr>
                <w:rFonts w:asciiTheme="majorHAnsi" w:hAnsiTheme="majorHAnsi"/>
                <w:sz w:val="20"/>
                <w:szCs w:val="20"/>
              </w:rPr>
              <w:t xml:space="preserve">v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případě, že MAS nebude vybrána k podpoře v rámci OPZ SC 2.3.1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582B8B" w:rsidRPr="00113728" w:rsidTr="009E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14"/>
        </w:trPr>
        <w:tc>
          <w:tcPr>
            <w:tcW w:w="10590" w:type="dxa"/>
            <w:shd w:val="clear" w:color="auto" w:fill="auto"/>
          </w:tcPr>
          <w:p w:rsidR="00834152" w:rsidRDefault="00834152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13728">
              <w:rPr>
                <w:rFonts w:asciiTheme="majorHAnsi" w:hAnsiTheme="majorHAnsi"/>
                <w:b/>
                <w:sz w:val="20"/>
                <w:szCs w:val="20"/>
              </w:rPr>
              <w:t>Závěry ze zasedání Komory CLLD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>Zástupci KS MAS upozornili na procesní problémy standardizace MAS – MZe prověří situaci na SZIF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>Výběr oprávněných MAS v OPZ a OPŽP – diskuze ke kritériím zahrnutým do vzorce MPSV pro výběr MAS</w:t>
            </w:r>
          </w:p>
          <w:p w:rsidR="00582B8B" w:rsidRPr="001E0119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>Zástupci KS MAS upozornili na možnost, že vybraná MAS nebude mít zájem o realizaci aktivit</w:t>
            </w:r>
            <w:r w:rsidR="0073567A">
              <w:rPr>
                <w:rFonts w:asciiTheme="majorHAnsi" w:hAnsiTheme="majorHAnsi"/>
                <w:sz w:val="20"/>
                <w:szCs w:val="20"/>
              </w:rPr>
              <w:t xml:space="preserve"> v</w:t>
            </w:r>
            <w:r w:rsidR="00A97ECE">
              <w:rPr>
                <w:rFonts w:asciiTheme="majorHAnsi" w:hAnsiTheme="majorHAnsi"/>
                <w:sz w:val="20"/>
                <w:szCs w:val="20"/>
              </w:rPr>
              <w:t> </w:t>
            </w:r>
            <w:r w:rsidR="0073567A">
              <w:rPr>
                <w:rFonts w:asciiTheme="majorHAnsi" w:hAnsiTheme="majorHAnsi"/>
                <w:sz w:val="20"/>
                <w:szCs w:val="20"/>
              </w:rPr>
              <w:t>OP</w:t>
            </w:r>
            <w:r w:rsidR="00A97EC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3567A">
              <w:rPr>
                <w:rFonts w:asciiTheme="majorHAnsi" w:hAnsiTheme="majorHAnsi"/>
                <w:sz w:val="20"/>
                <w:szCs w:val="20"/>
              </w:rPr>
              <w:t xml:space="preserve">Z a </w:t>
            </w:r>
            <w:r w:rsidR="00D26330">
              <w:rPr>
                <w:rFonts w:asciiTheme="majorHAnsi" w:hAnsiTheme="majorHAnsi"/>
                <w:sz w:val="20"/>
                <w:szCs w:val="20"/>
              </w:rPr>
              <w:t>OP</w:t>
            </w:r>
            <w:r w:rsidR="00A97EC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26330">
              <w:rPr>
                <w:rFonts w:asciiTheme="majorHAnsi" w:hAnsiTheme="majorHAnsi"/>
                <w:sz w:val="20"/>
                <w:szCs w:val="20"/>
              </w:rPr>
              <w:t>ŽP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; </w:t>
            </w:r>
            <w:r w:rsidRPr="001E0119">
              <w:rPr>
                <w:rFonts w:asciiTheme="majorHAnsi" w:hAnsiTheme="majorHAnsi"/>
                <w:sz w:val="20"/>
                <w:szCs w:val="20"/>
              </w:rPr>
              <w:t xml:space="preserve">např. OP ŽP – nereálná výše alokací, objem nelze vyčerpat, může vytvářet negativní obraz schopností MAS, nejsou známy aktuální podklady pro stanovení alokací 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 xml:space="preserve">IROP – příprava výzvy na SC 4.2 – předpokládané vyhlášení výzvy červenec 2015, podmínka pro způsobilost výdajů - standardizace MAS a schválená 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strategie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CLLD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 xml:space="preserve">Řeší se nastavení kontrol 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plnění podmínek standardizace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po </w:t>
            </w:r>
            <w:r w:rsidR="001E0119">
              <w:rPr>
                <w:rFonts w:asciiTheme="majorHAnsi" w:hAnsiTheme="majorHAnsi"/>
                <w:sz w:val="20"/>
                <w:szCs w:val="20"/>
              </w:rPr>
              <w:t xml:space="preserve">nyní realizované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 xml:space="preserve">standardizaci </w:t>
            </w:r>
            <w:r w:rsidR="0073567A">
              <w:rPr>
                <w:rFonts w:asciiTheme="majorHAnsi" w:hAnsiTheme="majorHAnsi"/>
                <w:sz w:val="20"/>
                <w:szCs w:val="20"/>
              </w:rPr>
              <w:t xml:space="preserve">MAS - </w:t>
            </w:r>
            <w:r w:rsidRPr="00113728">
              <w:rPr>
                <w:rFonts w:asciiTheme="majorHAnsi" w:hAnsiTheme="majorHAnsi"/>
                <w:sz w:val="20"/>
                <w:szCs w:val="20"/>
              </w:rPr>
              <w:t>ŘO IROP, MZe, SZIF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>IROP - není možné rozšířit podporované aktivity MAS (např. zdravotnictví, kulturní dědictví)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>Shoda na pozvání zástupců OP VVV</w:t>
            </w:r>
            <w:r w:rsidR="00A97ECE">
              <w:rPr>
                <w:rFonts w:asciiTheme="majorHAnsi" w:hAnsiTheme="majorHAnsi"/>
                <w:sz w:val="20"/>
                <w:szCs w:val="20"/>
              </w:rPr>
              <w:t xml:space="preserve"> na další jednání Komory CLLD</w:t>
            </w:r>
          </w:p>
          <w:p w:rsidR="008C10BF" w:rsidRPr="008C10BF" w:rsidRDefault="008C10BF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C10BF">
              <w:rPr>
                <w:rFonts w:asciiTheme="majorHAnsi" w:hAnsiTheme="majorHAnsi"/>
                <w:sz w:val="20"/>
                <w:szCs w:val="20"/>
              </w:rPr>
              <w:t>SCLLD budou v regionálních akčních plánech SRR (RAP) uvedeny pouze pro informaci</w:t>
            </w:r>
          </w:p>
          <w:p w:rsidR="00582B8B" w:rsidRPr="00113728" w:rsidRDefault="00582B8B" w:rsidP="00AD763D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3728">
              <w:rPr>
                <w:rFonts w:asciiTheme="majorHAnsi" w:hAnsiTheme="majorHAnsi"/>
                <w:sz w:val="20"/>
                <w:szCs w:val="20"/>
              </w:rPr>
              <w:t xml:space="preserve">Členství v platformách pro plánování výzev programů (MPSV – Programové partnerství, IROP – počítají s jedním zástupcem) </w:t>
            </w:r>
          </w:p>
          <w:p w:rsidR="00582B8B" w:rsidRPr="00113728" w:rsidRDefault="00582B8B" w:rsidP="00AD763D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82B8B" w:rsidRPr="009E1F68" w:rsidRDefault="00E71A72" w:rsidP="009E1F68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NSK-09</w:t>
            </w:r>
            <w:r w:rsidR="00582B8B" w:rsidRPr="0011372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/2015: Národní stálá konference bere na vědomí </w:t>
            </w:r>
            <w:r w:rsidR="00582B8B" w:rsidRPr="00113728">
              <w:rPr>
                <w:rFonts w:asciiTheme="majorHAnsi" w:hAnsiTheme="majorHAnsi"/>
                <w:sz w:val="20"/>
                <w:szCs w:val="20"/>
              </w:rPr>
              <w:t>informace o aktuálním stavu přípravy integrovaného nástroje Komunitně vedený místní rozvoj.</w:t>
            </w:r>
          </w:p>
        </w:tc>
      </w:tr>
    </w:tbl>
    <w:p w:rsidR="00582B8B" w:rsidRPr="00113728" w:rsidRDefault="00582B8B" w:rsidP="009E1F68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9E1F68" w:rsidRDefault="009E1F68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9E1F68" w:rsidRDefault="009E1F68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9E1F68" w:rsidRDefault="009E1F68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9E1F68" w:rsidRDefault="009E1F68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Default="0051444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1444B" w:rsidRPr="00AD763D" w:rsidRDefault="00AD763D" w:rsidP="00AD763D">
      <w:pPr>
        <w:pStyle w:val="Zhlav"/>
        <w:tabs>
          <w:tab w:val="left" w:pos="1920"/>
        </w:tabs>
        <w:ind w:left="-1276"/>
        <w:jc w:val="both"/>
        <w:rPr>
          <w:rFonts w:ascii="Calibri" w:hAnsi="Calibri" w:cs="Calibri"/>
          <w:b/>
          <w:bCs/>
          <w:spacing w:val="40"/>
          <w:sz w:val="32"/>
          <w:szCs w:val="32"/>
        </w:rPr>
      </w:pPr>
      <w:r w:rsidRPr="00AD763D">
        <w:rPr>
          <w:rFonts w:ascii="Calibri" w:hAnsi="Calibri" w:cs="Calibri"/>
          <w:b/>
          <w:bCs/>
          <w:spacing w:val="40"/>
          <w:sz w:val="32"/>
          <w:szCs w:val="32"/>
        </w:rPr>
        <w:lastRenderedPageBreak/>
        <w:t>Plenární zasedání</w:t>
      </w:r>
      <w:r w:rsidR="0051444B" w:rsidRPr="00AD763D">
        <w:rPr>
          <w:rFonts w:ascii="Calibri" w:hAnsi="Calibri" w:cs="Calibri"/>
          <w:b/>
          <w:bCs/>
          <w:spacing w:val="40"/>
          <w:sz w:val="32"/>
          <w:szCs w:val="32"/>
        </w:rPr>
        <w:t xml:space="preserve"> </w:t>
      </w:r>
    </w:p>
    <w:p w:rsidR="0051444B" w:rsidRPr="00113728" w:rsidRDefault="0051444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Cs w:val="20"/>
        </w:rPr>
      </w:pPr>
    </w:p>
    <w:p w:rsidR="0051444B" w:rsidRPr="00113728" w:rsidRDefault="0051444B" w:rsidP="00AD763D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113728">
        <w:rPr>
          <w:rFonts w:asciiTheme="majorHAnsi" w:hAnsiTheme="majorHAnsi" w:cs="Cambria"/>
          <w:b/>
          <w:bCs/>
          <w:sz w:val="20"/>
          <w:szCs w:val="20"/>
        </w:rPr>
        <w:t>A Průběh zasedání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0"/>
      </w:tblGrid>
      <w:tr w:rsidR="0051444B" w:rsidRPr="00113728" w:rsidTr="00C702B5">
        <w:trPr>
          <w:cantSplit/>
          <w:trHeight w:val="7689"/>
        </w:trPr>
        <w:tc>
          <w:tcPr>
            <w:tcW w:w="10590" w:type="dxa"/>
          </w:tcPr>
          <w:p w:rsidR="00341189" w:rsidRPr="000B03E1" w:rsidRDefault="00341189" w:rsidP="00341189">
            <w:pPr>
              <w:spacing w:after="160" w:line="276" w:lineRule="auto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Na plenárním zasedání byly schváleny následující usnesení:</w:t>
            </w:r>
          </w:p>
          <w:p w:rsidR="00341189" w:rsidRPr="000B03E1" w:rsidRDefault="00341189" w:rsidP="00341189">
            <w:pPr>
              <w:pStyle w:val="Odstavecseseznamem"/>
              <w:numPr>
                <w:ilvl w:val="0"/>
                <w:numId w:val="1"/>
              </w:numPr>
              <w:spacing w:before="0" w:after="160" w:line="276" w:lineRule="auto"/>
              <w:contextualSpacing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0B03E1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 xml:space="preserve">Usnesení č. NSK-01/2015: </w:t>
            </w:r>
            <w:r w:rsidRPr="000B03E1">
              <w:rPr>
                <w:rFonts w:asciiTheme="majorHAnsi" w:hAnsiTheme="majorHAnsi"/>
                <w:b/>
                <w:bCs/>
                <w:sz w:val="20"/>
                <w:szCs w:val="20"/>
                <w:lang w:val="cs-CZ"/>
              </w:rPr>
              <w:t xml:space="preserve">Národní stálá konference:  </w:t>
            </w:r>
          </w:p>
          <w:p w:rsidR="00341189" w:rsidRPr="000B03E1" w:rsidRDefault="00341189" w:rsidP="00341189">
            <w:pPr>
              <w:pStyle w:val="Odstavecseseznamem"/>
              <w:spacing w:before="0" w:after="160" w:line="276" w:lineRule="auto"/>
              <w:ind w:left="1080"/>
              <w:contextualSpacing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  <w:lang w:val="cs-CZ"/>
              </w:rPr>
              <w:t>I. schvaluje</w:t>
            </w:r>
            <w:r w:rsidRPr="000B03E1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Statut a Jednací řád NSK dle materiálu č. NSK-03-2015-01,</w:t>
            </w:r>
          </w:p>
          <w:p w:rsidR="00341189" w:rsidRPr="000B03E1" w:rsidRDefault="00341189" w:rsidP="00341189">
            <w:pPr>
              <w:pStyle w:val="Odstavecseseznamem"/>
              <w:spacing w:before="0" w:after="160" w:line="276" w:lineRule="auto"/>
              <w:ind w:left="1080"/>
              <w:contextualSpacing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0B03E1">
              <w:rPr>
                <w:rFonts w:asciiTheme="majorHAnsi" w:hAnsiTheme="majorHAnsi"/>
                <w:b/>
                <w:sz w:val="20"/>
                <w:szCs w:val="20"/>
                <w:lang w:val="cs-CZ"/>
              </w:rPr>
              <w:t>II.</w:t>
            </w:r>
            <w:r w:rsidRPr="000B03E1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Pr="000B03E1">
              <w:rPr>
                <w:rFonts w:asciiTheme="majorHAnsi" w:hAnsiTheme="majorHAnsi"/>
                <w:b/>
                <w:bCs/>
                <w:sz w:val="20"/>
                <w:szCs w:val="20"/>
                <w:lang w:val="cs-CZ"/>
              </w:rPr>
              <w:t>ukládá</w:t>
            </w:r>
            <w:r w:rsidRPr="000B03E1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sekretariátu NSK předložit Statut a Jednací řád NSK ministryni pro místní rozvoj k podpisu.</w:t>
            </w:r>
          </w:p>
          <w:p w:rsidR="00341189" w:rsidRPr="000B03E1" w:rsidRDefault="00341189" w:rsidP="00341189">
            <w:pPr>
              <w:pStyle w:val="Odstavecseseznamem"/>
              <w:spacing w:before="0" w:beforeAutospacing="0" w:after="160" w:afterAutospacing="0" w:line="276" w:lineRule="auto"/>
              <w:ind w:left="1080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</w:p>
          <w:p w:rsidR="00341189" w:rsidRPr="000B03E1" w:rsidRDefault="00341189" w:rsidP="00341189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76" w:lineRule="auto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  <w:r w:rsidRPr="000B03E1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 xml:space="preserve">Usnesení č. NSK-02/2015: Národní stálá konference bere na vědomí </w:t>
            </w:r>
            <w:r w:rsidRPr="000B03E1">
              <w:rPr>
                <w:rFonts w:ascii="Cambria" w:hAnsi="Cambria"/>
                <w:bCs/>
                <w:sz w:val="20"/>
                <w:szCs w:val="20"/>
                <w:lang w:val="cs-CZ"/>
              </w:rPr>
              <w:t>aktuální informace o právních aspektech nositelství Integrovaných územních investic dle materiálu č. NSK-KURB-03-2015-01.</w:t>
            </w:r>
          </w:p>
          <w:p w:rsidR="00341189" w:rsidRPr="000B03E1" w:rsidRDefault="00341189" w:rsidP="00341189">
            <w:pPr>
              <w:pStyle w:val="Odstavecseseznamem"/>
              <w:spacing w:before="0" w:beforeAutospacing="0" w:after="160" w:afterAutospacing="0" w:line="276" w:lineRule="auto"/>
              <w:ind w:left="1080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</w:p>
          <w:p w:rsidR="00341189" w:rsidRPr="000B03E1" w:rsidRDefault="00341189" w:rsidP="00341189">
            <w:pPr>
              <w:pStyle w:val="Odstavecseseznamem"/>
              <w:numPr>
                <w:ilvl w:val="0"/>
                <w:numId w:val="1"/>
              </w:numPr>
              <w:spacing w:before="0" w:beforeAutospacing="0" w:after="160" w:afterAutospacing="0" w:line="276" w:lineRule="auto"/>
              <w:contextualSpacing/>
              <w:jc w:val="both"/>
              <w:rPr>
                <w:rFonts w:ascii="Cambria" w:hAnsi="Cambria"/>
                <w:bCs/>
                <w:sz w:val="20"/>
                <w:szCs w:val="20"/>
                <w:lang w:val="cs-CZ"/>
              </w:rPr>
            </w:pPr>
            <w:r w:rsidRPr="000B03E1">
              <w:rPr>
                <w:rFonts w:ascii="Cambria" w:hAnsi="Cambria"/>
                <w:b/>
                <w:bCs/>
                <w:sz w:val="20"/>
                <w:szCs w:val="20"/>
                <w:lang w:val="cs-CZ"/>
              </w:rPr>
              <w:t xml:space="preserve">Usnesení č. NSK-03/2015: Národní stálá konference doporučuje </w:t>
            </w:r>
            <w:r w:rsidRPr="000B03E1">
              <w:rPr>
                <w:rFonts w:ascii="Cambria" w:hAnsi="Cambria"/>
                <w:bCs/>
                <w:sz w:val="20"/>
                <w:szCs w:val="20"/>
                <w:lang w:val="cs-CZ"/>
              </w:rPr>
              <w:t>Řídicím orgánům a nositelům integrovaných nástrojů ITI a IPRÚ pokračovat ve dvoustranných jednáních o promítnutí požadavků a potřeb v území do zpracovávaných integrovaných strategií a informovat MMR o výsledcích jednání, T: 30. 4. 2015.</w:t>
            </w: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Usnesení č. NSK-04/2015: Národní stálá konference </w:t>
            </w:r>
          </w:p>
          <w:p w:rsidR="00341189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bere na vědomí </w:t>
            </w:r>
            <w:r w:rsidRPr="000B03E1">
              <w:rPr>
                <w:rFonts w:asciiTheme="majorHAnsi" w:hAnsiTheme="majorHAnsi" w:cs="Cambria"/>
                <w:bCs/>
                <w:sz w:val="20"/>
                <w:szCs w:val="20"/>
              </w:rPr>
              <w:t>informace o aktuálním stavu Regionálních akčních plánů SRR 2014-2020</w:t>
            </w:r>
            <w:r>
              <w:rPr>
                <w:rFonts w:asciiTheme="majorHAnsi" w:hAnsiTheme="majorHAnsi" w:cs="Cambria"/>
                <w:bCs/>
                <w:sz w:val="20"/>
                <w:szCs w:val="20"/>
              </w:rPr>
              <w:t>.</w:t>
            </w:r>
          </w:p>
          <w:p w:rsidR="00341189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NSK-05/2015: Národní stálá konference</w:t>
            </w:r>
          </w:p>
          <w:p w:rsidR="00341189" w:rsidRPr="00F84F15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F84F15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MMR dokončit metodiku tvorby Regionálních akčních plánů SRR 2014-2020, T: 10. 4. 2015. </w:t>
            </w:r>
          </w:p>
          <w:p w:rsidR="00341189" w:rsidRPr="000B03E1" w:rsidRDefault="00341189" w:rsidP="00341189">
            <w:pPr>
              <w:pStyle w:val="Default"/>
              <w:spacing w:line="276" w:lineRule="auto"/>
              <w:ind w:left="108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NSK-06/2015: Národní stálá konference</w:t>
            </w:r>
          </w:p>
          <w:p w:rsidR="00341189" w:rsidRPr="000B03E1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F84F15">
              <w:rPr>
                <w:rFonts w:asciiTheme="majorHAnsi" w:hAnsiTheme="majorHAnsi" w:cs="Cambria"/>
                <w:bCs/>
                <w:sz w:val="20"/>
                <w:szCs w:val="20"/>
              </w:rPr>
              <w:t>ŘO jednat s Regionálními stálými konferencemi pod vedením MMR o promítnutí vzájemných potřeb do Regionálních akčních plánů SRR 2014-2020 a informovat o výsledcích sekretariát NSK, T: 31. 5. 2015.</w:t>
            </w: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 </w:t>
            </w:r>
          </w:p>
          <w:p w:rsidR="00341189" w:rsidRPr="000B03E1" w:rsidRDefault="00341189" w:rsidP="00341189">
            <w:pPr>
              <w:pStyle w:val="Default"/>
              <w:spacing w:line="276" w:lineRule="auto"/>
              <w:ind w:left="108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NSK-07/2015: Národní stálá konference</w:t>
            </w:r>
          </w:p>
          <w:p w:rsidR="00341189" w:rsidRPr="00F84F15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F84F15">
              <w:rPr>
                <w:rFonts w:asciiTheme="majorHAnsi" w:hAnsiTheme="majorHAnsi" w:cs="Cambria"/>
                <w:bCs/>
                <w:sz w:val="20"/>
                <w:szCs w:val="20"/>
              </w:rPr>
              <w:t>Komorám NSK nominovat své zástupce do platforem jednotlivých OP pro plánování výzev, T: 3. 4. 2015.</w:t>
            </w:r>
          </w:p>
          <w:p w:rsidR="00341189" w:rsidRPr="000B03E1" w:rsidRDefault="00341189" w:rsidP="00341189">
            <w:pPr>
              <w:pStyle w:val="Default"/>
              <w:spacing w:line="276" w:lineRule="auto"/>
              <w:ind w:left="108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NSK-08/2015: Národní stálá konference</w:t>
            </w:r>
          </w:p>
          <w:p w:rsidR="00341189" w:rsidRPr="00F84F15" w:rsidRDefault="00341189" w:rsidP="00341189">
            <w:pPr>
              <w:pStyle w:val="Zhlav"/>
              <w:widowControl w:val="0"/>
              <w:tabs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ind w:left="1168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0B03E1">
              <w:rPr>
                <w:rFonts w:asciiTheme="majorHAnsi" w:hAnsiTheme="majorHAnsi" w:cs="Cambria"/>
                <w:b/>
                <w:bCs/>
                <w:sz w:val="20"/>
                <w:szCs w:val="20"/>
              </w:rPr>
              <w:t xml:space="preserve">I. doporučuje </w:t>
            </w:r>
            <w:r w:rsidRPr="00F84F15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ŘO, které nezřizují ZS v souladu s čl. 7 Nařízení o EFRR, zajistit účast zástupců všech tří Komor NSK ve všech platformách jednotlivých OP pro plánování výzev. </w:t>
            </w:r>
          </w:p>
          <w:p w:rsidR="00341189" w:rsidRPr="000B03E1" w:rsidRDefault="00341189" w:rsidP="00341189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341189" w:rsidRPr="000B03E1" w:rsidRDefault="00341189" w:rsidP="00341189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>Usnesení č. NSK-0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9</w:t>
            </w:r>
            <w:r w:rsidRPr="000B03E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/2015: Národní stálá konference bere na vědomí </w:t>
            </w:r>
            <w:r w:rsidRPr="000B03E1">
              <w:rPr>
                <w:rFonts w:asciiTheme="majorHAnsi" w:hAnsiTheme="majorHAnsi"/>
                <w:sz w:val="20"/>
                <w:szCs w:val="20"/>
              </w:rPr>
              <w:t>informace o aktuálním stavu přípravy integrovaného nástroje Komunitně vedený místní rozvoj.</w:t>
            </w:r>
          </w:p>
          <w:p w:rsidR="00341189" w:rsidRPr="000B03E1" w:rsidRDefault="00341189" w:rsidP="00341189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  <w:p w:rsidR="00341189" w:rsidRDefault="00341189" w:rsidP="00341189">
            <w:pPr>
              <w:spacing w:after="160" w:line="276" w:lineRule="auto"/>
              <w:contextualSpacing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B03E1">
              <w:rPr>
                <w:rFonts w:asciiTheme="majorHAnsi" w:hAnsiTheme="majorHAnsi"/>
                <w:sz w:val="20"/>
                <w:szCs w:val="20"/>
              </w:rPr>
              <w:t>Na závěr poděkovala Ing. Klára Dostálová přítomným za účast a avizovala, že další zasedání Národní stálé konference se uskuteční pravděpodobně v září 2015, kdy už budou známy schválené verze operačních programů.</w:t>
            </w:r>
          </w:p>
          <w:p w:rsidR="00A97ECE" w:rsidRPr="00113728" w:rsidRDefault="00A97ECE" w:rsidP="00AD763D">
            <w:pPr>
              <w:spacing w:after="160" w:line="276" w:lineRule="auto"/>
              <w:contextualSpacing/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51444B" w:rsidRDefault="00D30269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:rsidR="00C702B5" w:rsidRDefault="00C702B5" w:rsidP="00341189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C702B5" w:rsidRDefault="00C702B5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C702B5" w:rsidRPr="00113728" w:rsidRDefault="00C702B5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134"/>
        <w:jc w:val="both"/>
        <w:rPr>
          <w:rFonts w:ascii="Cambria" w:hAnsi="Cambria" w:cs="Cambria"/>
          <w:b/>
          <w:bCs/>
          <w:sz w:val="20"/>
          <w:szCs w:val="20"/>
        </w:rPr>
      </w:pPr>
      <w:r w:rsidRPr="00113728">
        <w:rPr>
          <w:rFonts w:ascii="Cambria" w:hAnsi="Cambria" w:cs="Cambria"/>
          <w:b/>
          <w:bCs/>
          <w:sz w:val="20"/>
          <w:szCs w:val="20"/>
        </w:rPr>
        <w:t>B Podpis</w:t>
      </w:r>
    </w:p>
    <w:tbl>
      <w:tblPr>
        <w:tblW w:w="0" w:type="auto"/>
        <w:tblInd w:w="-1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418"/>
        <w:gridCol w:w="2268"/>
        <w:gridCol w:w="2552"/>
        <w:gridCol w:w="4252"/>
      </w:tblGrid>
      <w:tr w:rsidR="00582B8B" w:rsidRPr="00113728" w:rsidTr="00CD3FBA">
        <w:trPr>
          <w:cantSplit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  <w:vAlign w:val="center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113728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Strana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113728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Zápis schválil</w:t>
            </w:r>
          </w:p>
        </w:tc>
      </w:tr>
      <w:tr w:rsidR="00582B8B" w:rsidRPr="00113728" w:rsidTr="00CD3FBA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113728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Datum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113728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Jméno (čitelně hůlkově)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582B8B" w:rsidRPr="00113728" w:rsidRDefault="00582B8B" w:rsidP="00AD763D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113728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Podpis</w:t>
            </w:r>
          </w:p>
        </w:tc>
      </w:tr>
      <w:tr w:rsidR="00582B8B" w:rsidRPr="00113728" w:rsidTr="00CD3FBA">
        <w:trPr>
          <w:cantSplit/>
          <w:trHeight w:val="366"/>
        </w:trPr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8B" w:rsidRPr="00113728" w:rsidRDefault="00582B8B" w:rsidP="00AD763D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113728">
              <w:rPr>
                <w:rFonts w:ascii="Cambria" w:hAnsi="Cambria" w:cs="Cambria"/>
                <w:sz w:val="20"/>
                <w:szCs w:val="20"/>
              </w:rPr>
              <w:t>MMR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8B" w:rsidRPr="00113728" w:rsidRDefault="00D46074" w:rsidP="00AD763D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13. 4. 2015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582B8B" w:rsidRPr="00113728" w:rsidRDefault="00D46074" w:rsidP="00AD763D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Ing. Klára Dostálová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82B8B" w:rsidRPr="00113728" w:rsidRDefault="00582B8B" w:rsidP="00AD763D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582B8B" w:rsidRPr="00113728" w:rsidRDefault="00582B8B" w:rsidP="00AD763D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p w:rsidR="00582B8B" w:rsidRDefault="00582B8B" w:rsidP="00AD763D">
      <w:pPr>
        <w:jc w:val="both"/>
      </w:pPr>
    </w:p>
    <w:sectPr w:rsidR="00582B8B" w:rsidSect="008D5A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680" w:bottom="1135" w:left="1956" w:header="567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E5" w:rsidRDefault="00B52BE5" w:rsidP="00582B8B">
      <w:r>
        <w:separator/>
      </w:r>
    </w:p>
  </w:endnote>
  <w:endnote w:type="continuationSeparator" w:id="0">
    <w:p w:rsidR="00B52BE5" w:rsidRDefault="00B52BE5" w:rsidP="0058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F574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55 Helvetica CE Roman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A50D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9D39A3" w:rsidRDefault="00B52BE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A50DA3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 w:rsidR="00C335EA">
      <w:rPr>
        <w:rStyle w:val="slostrnky"/>
        <w:noProof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 w:rsidR="00C335EA">
      <w:rPr>
        <w:rStyle w:val="slostrnky"/>
        <w:noProof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A50DA3" w:rsidP="00494059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 w:rsidR="00942C5F">
      <w:rPr>
        <w:rStyle w:val="slostrnky"/>
        <w:noProof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:rsidR="009D39A3" w:rsidRDefault="00B52BE5">
    <w:pPr>
      <w:pStyle w:val="Zpat"/>
    </w:pPr>
  </w:p>
  <w:p w:rsidR="009D39A3" w:rsidRDefault="00B52BE5">
    <w:pPr>
      <w:pStyle w:val="T-Mobilezapati"/>
      <w:tabs>
        <w:tab w:val="right" w:pos="9214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E5" w:rsidRDefault="00B52BE5" w:rsidP="00582B8B">
      <w:r>
        <w:separator/>
      </w:r>
    </w:p>
  </w:footnote>
  <w:footnote w:type="continuationSeparator" w:id="0">
    <w:p w:rsidR="00B52BE5" w:rsidRDefault="00B52BE5" w:rsidP="00582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Pr="008D5AC9" w:rsidRDefault="00A50DA3" w:rsidP="008D5AC9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9E64B7D" wp14:editId="72EAD00D">
          <wp:simplePos x="0" y="0"/>
          <wp:positionH relativeFrom="column">
            <wp:posOffset>4158615</wp:posOffset>
          </wp:positionH>
          <wp:positionV relativeFrom="paragraph">
            <wp:posOffset>34925</wp:posOffset>
          </wp:positionV>
          <wp:extent cx="1676400" cy="361950"/>
          <wp:effectExtent l="0" t="0" r="0" b="0"/>
          <wp:wrapNone/>
          <wp:docPr id="2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Zápis z 2.</w:t>
    </w:r>
    <w:r w:rsidR="00FC7796"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 </w:t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zasedání Národní stálé konference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A50D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07B7EE9" wp14:editId="7CC0AB73">
          <wp:simplePos x="0" y="0"/>
          <wp:positionH relativeFrom="column">
            <wp:posOffset>4158615</wp:posOffset>
          </wp:positionH>
          <wp:positionV relativeFrom="paragraph">
            <wp:posOffset>34925</wp:posOffset>
          </wp:positionV>
          <wp:extent cx="1676400" cy="361950"/>
          <wp:effectExtent l="0" t="0" r="0" b="0"/>
          <wp:wrapNone/>
          <wp:docPr id="3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Zápis z jednánípracovnískupiny</w:t>
    </w:r>
  </w:p>
  <w:p w:rsidR="009D39A3" w:rsidRDefault="00A50D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kprojektu OECD Local Job Creation </w:t>
    </w:r>
  </w:p>
  <w:p w:rsidR="009D39A3" w:rsidRPr="00377DC0" w:rsidRDefault="00A50D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rFonts w:ascii="Calibri" w:hAnsi="Calibri" w:cs="Calibri"/>
        <w:b/>
        <w:bCs/>
        <w:spacing w:val="40"/>
        <w:sz w:val="32"/>
        <w:szCs w:val="32"/>
        <w:lang w:val="en-US"/>
      </w:rPr>
      <w:tab/>
    </w:r>
  </w:p>
  <w:p w:rsidR="009D39A3" w:rsidRDefault="00A50DA3">
    <w:pPr>
      <w:pStyle w:val="Zhlav"/>
      <w:tabs>
        <w:tab w:val="clear" w:pos="4536"/>
        <w:tab w:val="clear" w:pos="9072"/>
      </w:tabs>
      <w:spacing w:line="280" w:lineRule="exact"/>
      <w:rPr>
        <w:rFonts w:ascii="55 Helvetica CE Roman" w:hAnsi="55 Helvetica CE Roman" w:cs="55 Helvetica CE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67E4FD2" wp14:editId="36C8D447">
              <wp:simplePos x="0" y="0"/>
              <wp:positionH relativeFrom="page">
                <wp:posOffset>431800</wp:posOffset>
              </wp:positionH>
              <wp:positionV relativeFrom="page">
                <wp:posOffset>431800</wp:posOffset>
              </wp:positionV>
              <wp:extent cx="6756400" cy="495300"/>
              <wp:effectExtent l="0" t="0" r="0" b="0"/>
              <wp:wrapNone/>
              <wp:docPr id="1" name="Picture 1" descr="Popis: Agne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7564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D9566B" id="Picture 1" o:spid="_x0000_s1026" alt="Popis: Agneda" style="position:absolute;margin-left:34pt;margin-top:34pt;width:532pt;height:3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" o:allowincell="f" filled="f" stroked="f">
              <o:lock v:ext="edit" aspectratio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731FF"/>
    <w:multiLevelType w:val="hybridMultilevel"/>
    <w:tmpl w:val="68E0E7F2"/>
    <w:lvl w:ilvl="0" w:tplc="C744F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AA3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2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2C1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24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96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C65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E02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66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265F20"/>
    <w:multiLevelType w:val="hybridMultilevel"/>
    <w:tmpl w:val="91887D52"/>
    <w:lvl w:ilvl="0" w:tplc="1F5C62DA">
      <w:start w:val="2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404B87"/>
    <w:multiLevelType w:val="hybridMultilevel"/>
    <w:tmpl w:val="8B248EF4"/>
    <w:lvl w:ilvl="0" w:tplc="C6EAA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F01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61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C7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24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627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482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88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321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C37E20"/>
    <w:multiLevelType w:val="hybridMultilevel"/>
    <w:tmpl w:val="2AE4E9DA"/>
    <w:lvl w:ilvl="0" w:tplc="877875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851E1"/>
    <w:multiLevelType w:val="hybridMultilevel"/>
    <w:tmpl w:val="FCA85D86"/>
    <w:lvl w:ilvl="0" w:tplc="7902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03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E2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EE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789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2A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B65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32D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342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8B"/>
    <w:rsid w:val="00005B2B"/>
    <w:rsid w:val="00014131"/>
    <w:rsid w:val="000301E7"/>
    <w:rsid w:val="00030553"/>
    <w:rsid w:val="00031775"/>
    <w:rsid w:val="0004003D"/>
    <w:rsid w:val="00044E7B"/>
    <w:rsid w:val="00051570"/>
    <w:rsid w:val="0007395B"/>
    <w:rsid w:val="00086D89"/>
    <w:rsid w:val="000B0AF6"/>
    <w:rsid w:val="000B7189"/>
    <w:rsid w:val="000C0F81"/>
    <w:rsid w:val="000C22D7"/>
    <w:rsid w:val="000D3C71"/>
    <w:rsid w:val="000F732D"/>
    <w:rsid w:val="00130EDA"/>
    <w:rsid w:val="00145AE0"/>
    <w:rsid w:val="0016082E"/>
    <w:rsid w:val="00187A08"/>
    <w:rsid w:val="00193F68"/>
    <w:rsid w:val="00196471"/>
    <w:rsid w:val="001B427F"/>
    <w:rsid w:val="001B5E55"/>
    <w:rsid w:val="001C13B9"/>
    <w:rsid w:val="001C7724"/>
    <w:rsid w:val="001D2273"/>
    <w:rsid w:val="001E0119"/>
    <w:rsid w:val="001E1F4A"/>
    <w:rsid w:val="00236721"/>
    <w:rsid w:val="002529F6"/>
    <w:rsid w:val="002A03F0"/>
    <w:rsid w:val="002A5FE4"/>
    <w:rsid w:val="002B3365"/>
    <w:rsid w:val="002B46BA"/>
    <w:rsid w:val="002B6950"/>
    <w:rsid w:val="002C3AA3"/>
    <w:rsid w:val="00306C21"/>
    <w:rsid w:val="003108B2"/>
    <w:rsid w:val="00312018"/>
    <w:rsid w:val="003147A8"/>
    <w:rsid w:val="00341189"/>
    <w:rsid w:val="00350A59"/>
    <w:rsid w:val="00361FEC"/>
    <w:rsid w:val="00380B7A"/>
    <w:rsid w:val="00381303"/>
    <w:rsid w:val="003A7EEA"/>
    <w:rsid w:val="003C1129"/>
    <w:rsid w:val="003C396A"/>
    <w:rsid w:val="003D71F3"/>
    <w:rsid w:val="003E2AF4"/>
    <w:rsid w:val="004238A2"/>
    <w:rsid w:val="004505BA"/>
    <w:rsid w:val="00480BE4"/>
    <w:rsid w:val="00480F5B"/>
    <w:rsid w:val="00481425"/>
    <w:rsid w:val="004A69F7"/>
    <w:rsid w:val="004B094E"/>
    <w:rsid w:val="004C1AD8"/>
    <w:rsid w:val="004C26E5"/>
    <w:rsid w:val="004D4FA9"/>
    <w:rsid w:val="004F71EC"/>
    <w:rsid w:val="00501C62"/>
    <w:rsid w:val="0051444B"/>
    <w:rsid w:val="00532A5B"/>
    <w:rsid w:val="00570007"/>
    <w:rsid w:val="00571A1D"/>
    <w:rsid w:val="00582B8B"/>
    <w:rsid w:val="005A282F"/>
    <w:rsid w:val="005B3F4B"/>
    <w:rsid w:val="005C35FF"/>
    <w:rsid w:val="005D271A"/>
    <w:rsid w:val="00602E24"/>
    <w:rsid w:val="00660AD9"/>
    <w:rsid w:val="00670C90"/>
    <w:rsid w:val="006806A1"/>
    <w:rsid w:val="006B0819"/>
    <w:rsid w:val="006B197A"/>
    <w:rsid w:val="006B63EC"/>
    <w:rsid w:val="006C0FFE"/>
    <w:rsid w:val="006D048A"/>
    <w:rsid w:val="006F31CD"/>
    <w:rsid w:val="00723D7B"/>
    <w:rsid w:val="00725AD8"/>
    <w:rsid w:val="00727D1A"/>
    <w:rsid w:val="00733BAB"/>
    <w:rsid w:val="0073567A"/>
    <w:rsid w:val="007367C7"/>
    <w:rsid w:val="00745451"/>
    <w:rsid w:val="0076739B"/>
    <w:rsid w:val="00772E66"/>
    <w:rsid w:val="00783D3C"/>
    <w:rsid w:val="00790BE3"/>
    <w:rsid w:val="00792CFD"/>
    <w:rsid w:val="00797DAE"/>
    <w:rsid w:val="007B690D"/>
    <w:rsid w:val="007C24D1"/>
    <w:rsid w:val="007D1FCC"/>
    <w:rsid w:val="007D2B0C"/>
    <w:rsid w:val="007D2DDB"/>
    <w:rsid w:val="007D310E"/>
    <w:rsid w:val="007E7156"/>
    <w:rsid w:val="007F5961"/>
    <w:rsid w:val="00813849"/>
    <w:rsid w:val="00834152"/>
    <w:rsid w:val="00840F64"/>
    <w:rsid w:val="00847D8A"/>
    <w:rsid w:val="00867BBF"/>
    <w:rsid w:val="00874D70"/>
    <w:rsid w:val="00896480"/>
    <w:rsid w:val="008B161E"/>
    <w:rsid w:val="008C10BF"/>
    <w:rsid w:val="008C48F5"/>
    <w:rsid w:val="008D4087"/>
    <w:rsid w:val="008D5AC9"/>
    <w:rsid w:val="008E14A2"/>
    <w:rsid w:val="00905DBB"/>
    <w:rsid w:val="0092668C"/>
    <w:rsid w:val="00942C5F"/>
    <w:rsid w:val="00971737"/>
    <w:rsid w:val="0099757E"/>
    <w:rsid w:val="009B081D"/>
    <w:rsid w:val="009C2AAC"/>
    <w:rsid w:val="009D49D7"/>
    <w:rsid w:val="009D679D"/>
    <w:rsid w:val="009E1F68"/>
    <w:rsid w:val="009E2996"/>
    <w:rsid w:val="009F44A6"/>
    <w:rsid w:val="00A12E18"/>
    <w:rsid w:val="00A16B56"/>
    <w:rsid w:val="00A337AB"/>
    <w:rsid w:val="00A50DA3"/>
    <w:rsid w:val="00A816E3"/>
    <w:rsid w:val="00A9194D"/>
    <w:rsid w:val="00A96B85"/>
    <w:rsid w:val="00A97ECE"/>
    <w:rsid w:val="00AA02AF"/>
    <w:rsid w:val="00AC2477"/>
    <w:rsid w:val="00AD7109"/>
    <w:rsid w:val="00AD763D"/>
    <w:rsid w:val="00AE586A"/>
    <w:rsid w:val="00B05CD1"/>
    <w:rsid w:val="00B17013"/>
    <w:rsid w:val="00B30F72"/>
    <w:rsid w:val="00B3774C"/>
    <w:rsid w:val="00B43418"/>
    <w:rsid w:val="00B52BE5"/>
    <w:rsid w:val="00BB1AC9"/>
    <w:rsid w:val="00BD28D0"/>
    <w:rsid w:val="00C07C74"/>
    <w:rsid w:val="00C109F6"/>
    <w:rsid w:val="00C335EA"/>
    <w:rsid w:val="00C702B5"/>
    <w:rsid w:val="00C91A1D"/>
    <w:rsid w:val="00CA02E0"/>
    <w:rsid w:val="00CD52DC"/>
    <w:rsid w:val="00D05113"/>
    <w:rsid w:val="00D12337"/>
    <w:rsid w:val="00D233B8"/>
    <w:rsid w:val="00D26330"/>
    <w:rsid w:val="00D30103"/>
    <w:rsid w:val="00D30269"/>
    <w:rsid w:val="00D3552D"/>
    <w:rsid w:val="00D46074"/>
    <w:rsid w:val="00D5648C"/>
    <w:rsid w:val="00D57FC1"/>
    <w:rsid w:val="00D61398"/>
    <w:rsid w:val="00D7301C"/>
    <w:rsid w:val="00D74FD3"/>
    <w:rsid w:val="00D80F5F"/>
    <w:rsid w:val="00D944F7"/>
    <w:rsid w:val="00D95270"/>
    <w:rsid w:val="00DC4C2D"/>
    <w:rsid w:val="00DC4D80"/>
    <w:rsid w:val="00DD18A8"/>
    <w:rsid w:val="00DD5084"/>
    <w:rsid w:val="00DD5812"/>
    <w:rsid w:val="00DF2E6D"/>
    <w:rsid w:val="00E36DE6"/>
    <w:rsid w:val="00E57D24"/>
    <w:rsid w:val="00E71A72"/>
    <w:rsid w:val="00E824C6"/>
    <w:rsid w:val="00E910EF"/>
    <w:rsid w:val="00EC01C0"/>
    <w:rsid w:val="00EC361C"/>
    <w:rsid w:val="00EC513C"/>
    <w:rsid w:val="00ED213E"/>
    <w:rsid w:val="00EE4FE9"/>
    <w:rsid w:val="00F3077E"/>
    <w:rsid w:val="00F42E4F"/>
    <w:rsid w:val="00F46A08"/>
    <w:rsid w:val="00F5225E"/>
    <w:rsid w:val="00F56BA6"/>
    <w:rsid w:val="00F60198"/>
    <w:rsid w:val="00F84911"/>
    <w:rsid w:val="00F84E91"/>
    <w:rsid w:val="00F84F15"/>
    <w:rsid w:val="00FC58AD"/>
    <w:rsid w:val="00FC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5F82B4-BB1A-4408-895C-47E9FC2D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2B8B"/>
    <w:pPr>
      <w:spacing w:after="0" w:line="240" w:lineRule="auto"/>
    </w:pPr>
    <w:rPr>
      <w:rFonts w:ascii="Arial" w:eastAsia="Times" w:hAnsi="Arial" w:cs="Arial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82B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B8B"/>
    <w:rPr>
      <w:rFonts w:ascii="Arial" w:eastAsia="Times" w:hAnsi="Arial" w:cs="Arial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582B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B8B"/>
    <w:rPr>
      <w:rFonts w:ascii="Arial" w:eastAsia="Times" w:hAnsi="Arial" w:cs="Arial"/>
      <w:sz w:val="18"/>
      <w:szCs w:val="18"/>
      <w:lang w:eastAsia="cs-CZ"/>
    </w:rPr>
  </w:style>
  <w:style w:type="character" w:styleId="slostrnky">
    <w:name w:val="page number"/>
    <w:basedOn w:val="Standardnpsmoodstavce"/>
    <w:uiPriority w:val="99"/>
    <w:rsid w:val="00582B8B"/>
    <w:rPr>
      <w:rFonts w:cs="Times New Roman"/>
    </w:rPr>
  </w:style>
  <w:style w:type="paragraph" w:customStyle="1" w:styleId="T-Mobilezapati">
    <w:name w:val="T-Mobile zapati"/>
    <w:basedOn w:val="Normln"/>
    <w:uiPriority w:val="99"/>
    <w:rsid w:val="00582B8B"/>
    <w:pPr>
      <w:spacing w:line="210" w:lineRule="exact"/>
      <w:ind w:left="1276"/>
    </w:pPr>
    <w:rPr>
      <w:color w:val="808080"/>
    </w:rPr>
  </w:style>
  <w:style w:type="paragraph" w:styleId="Odstavecseseznamem">
    <w:name w:val="List Paragraph"/>
    <w:basedOn w:val="Normln"/>
    <w:link w:val="OdstavecseseznamemChar"/>
    <w:uiPriority w:val="34"/>
    <w:qFormat/>
    <w:rsid w:val="00582B8B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82B8B"/>
    <w:rPr>
      <w:rFonts w:ascii="Arial" w:eastAsia="Times" w:hAnsi="Arial" w:cs="Arial"/>
      <w:sz w:val="24"/>
      <w:szCs w:val="24"/>
      <w:lang w:val="en-US"/>
    </w:rPr>
  </w:style>
  <w:style w:type="paragraph" w:customStyle="1" w:styleId="Default">
    <w:name w:val="Default"/>
    <w:rsid w:val="00582B8B"/>
    <w:pPr>
      <w:autoSpaceDE w:val="0"/>
      <w:autoSpaceDN w:val="0"/>
      <w:adjustRightInd w:val="0"/>
      <w:spacing w:after="0" w:line="240" w:lineRule="auto"/>
    </w:pPr>
    <w:rPr>
      <w:rFonts w:ascii="Cambria" w:eastAsia="Times" w:hAnsi="Cambria" w:cs="Cambria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F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F4B"/>
    <w:rPr>
      <w:rFonts w:ascii="Tahoma" w:eastAsia="Times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80F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F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F5F"/>
    <w:rPr>
      <w:rFonts w:ascii="Arial" w:eastAsia="Times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F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F5F"/>
    <w:rPr>
      <w:rFonts w:ascii="Arial" w:eastAsia="Times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A4902-6CEC-4E69-99C6-5886D03B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2730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jelena.kriegelsteinova</cp:lastModifiedBy>
  <cp:revision>2</cp:revision>
  <cp:lastPrinted>2015-04-09T17:45:00Z</cp:lastPrinted>
  <dcterms:created xsi:type="dcterms:W3CDTF">2015-05-22T08:32:00Z</dcterms:created>
  <dcterms:modified xsi:type="dcterms:W3CDTF">2015-05-22T08:32:00Z</dcterms:modified>
</cp:coreProperties>
</file>