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E7156">
        <w:rPr>
          <w:rFonts w:ascii="Times New Roman" w:eastAsia="Times New Roman" w:hAnsi="Times New Roman" w:cs="Times New Roman"/>
          <w:b/>
          <w:sz w:val="28"/>
        </w:rPr>
        <w:t>18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EE7156">
        <w:rPr>
          <w:rFonts w:ascii="Times New Roman" w:eastAsia="Times New Roman" w:hAnsi="Times New Roman" w:cs="Times New Roman"/>
          <w:sz w:val="28"/>
        </w:rPr>
        <w:t>23. 04. 2021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9A4BB4">
        <w:rPr>
          <w:rFonts w:ascii="Times New Roman" w:eastAsia="Times New Roman" w:hAnsi="Times New Roman" w:cs="Times New Roman"/>
          <w:sz w:val="28"/>
        </w:rPr>
        <w:t>11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4325B3" w:rsidRDefault="000461FD" w:rsidP="004325B3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325B3">
        <w:rPr>
          <w:rFonts w:ascii="Times New Roman" w:eastAsia="Times New Roman" w:hAnsi="Times New Roman"/>
          <w:b/>
          <w:sz w:val="28"/>
        </w:rPr>
        <w:t>Předmět jednání:</w:t>
      </w:r>
      <w:r w:rsidRPr="004325B3">
        <w:rPr>
          <w:rFonts w:ascii="Times New Roman" w:eastAsia="Times New Roman" w:hAnsi="Times New Roman"/>
          <w:sz w:val="28"/>
        </w:rPr>
        <w:tab/>
      </w:r>
      <w:r w:rsidR="004325B3" w:rsidRPr="004325B3">
        <w:rPr>
          <w:rFonts w:ascii="Times New Roman" w:hAnsi="Times New Roman" w:cs="Times New Roman"/>
          <w:bCs/>
          <w:sz w:val="28"/>
          <w:szCs w:val="28"/>
        </w:rPr>
        <w:t xml:space="preserve">Projednání „Programu rozvoje Karlovarského kraje </w:t>
      </w:r>
    </w:p>
    <w:p w:rsidR="004325B3" w:rsidRPr="004325B3" w:rsidRDefault="004325B3" w:rsidP="004325B3">
      <w:pPr>
        <w:spacing w:line="240" w:lineRule="auto"/>
        <w:ind w:left="1440" w:firstLine="720"/>
        <w:rPr>
          <w:rFonts w:ascii="Times New Roman" w:hAnsi="Times New Roman" w:cs="Times New Roman"/>
          <w:sz w:val="28"/>
          <w:szCs w:val="28"/>
        </w:rPr>
      </w:pPr>
      <w:r w:rsidRPr="004325B3">
        <w:rPr>
          <w:rFonts w:ascii="Times New Roman" w:hAnsi="Times New Roman" w:cs="Times New Roman"/>
          <w:bCs/>
          <w:sz w:val="28"/>
          <w:szCs w:val="28"/>
        </w:rPr>
        <w:t>2021-2027“</w:t>
      </w:r>
    </w:p>
    <w:p w:rsidR="006015F9" w:rsidRDefault="006015F9" w:rsidP="004325B3">
      <w:pPr>
        <w:pStyle w:val="Odstavecseseznamem"/>
        <w:spacing w:after="0" w:line="240" w:lineRule="auto"/>
        <w:ind w:left="2160" w:hanging="2160"/>
      </w:pPr>
    </w:p>
    <w:p w:rsidR="004325B3" w:rsidRPr="002B51E3" w:rsidRDefault="004F6236" w:rsidP="002B51E3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4325B3" w:rsidRPr="004325B3">
        <w:rPr>
          <w:rFonts w:ascii="Times New Roman" w:eastAsia="Times New Roman" w:hAnsi="Times New Roman" w:cs="Times New Roman"/>
          <w:sz w:val="28"/>
        </w:rPr>
        <w:t>Ing. Jana Bělohoubková</w:t>
      </w:r>
    </w:p>
    <w:p w:rsidR="006015F9" w:rsidRDefault="00EE7156" w:rsidP="004325B3">
      <w:pPr>
        <w:spacing w:line="240" w:lineRule="auto"/>
        <w:ind w:left="2160"/>
      </w:pPr>
      <w:r>
        <w:rPr>
          <w:rFonts w:ascii="Times New Roman" w:eastAsia="Times New Roman" w:hAnsi="Times New Roman" w:cs="Times New Roman"/>
          <w:sz w:val="28"/>
        </w:rPr>
        <w:t>Odbor regionálního rozvoje KÚKK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FC1FE9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FC1FE9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21627" w:rsidRDefault="00B411B2" w:rsidP="003A0138">
      <w:pPr>
        <w:tabs>
          <w:tab w:val="left" w:pos="360"/>
        </w:tabs>
        <w:spacing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B2162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33F02" w:rsidRPr="00B21627">
        <w:rPr>
          <w:rFonts w:ascii="Times New Roman" w:eastAsia="Times New Roman" w:hAnsi="Times New Roman" w:cs="Times New Roman"/>
          <w:b/>
          <w:sz w:val="24"/>
          <w:szCs w:val="24"/>
        </w:rPr>
        <w:t>bere na vědomí</w:t>
      </w:r>
      <w:r w:rsidR="00F33F02" w:rsidRPr="00E43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411B2" w:rsidRPr="00FC1FE9" w:rsidRDefault="00F33F02" w:rsidP="00B21627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E43F6D">
        <w:rPr>
          <w:rFonts w:ascii="Times New Roman" w:eastAsia="Times New Roman" w:hAnsi="Times New Roman" w:cs="Times New Roman"/>
          <w:sz w:val="24"/>
          <w:szCs w:val="24"/>
        </w:rPr>
        <w:t xml:space="preserve">informaci o Programu </w:t>
      </w:r>
      <w:r w:rsidR="00EE7156">
        <w:rPr>
          <w:rFonts w:ascii="Times New Roman" w:eastAsia="Times New Roman" w:hAnsi="Times New Roman" w:cs="Times New Roman"/>
          <w:sz w:val="24"/>
          <w:szCs w:val="24"/>
        </w:rPr>
        <w:t>rozvoje Karlovarského kraje 2021+</w:t>
      </w:r>
    </w:p>
    <w:p w:rsidR="00B411B2" w:rsidRPr="00FC1FE9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E1554D" w:rsidRPr="00FC1FE9" w:rsidRDefault="00E1554D" w:rsidP="008A55BB">
      <w:pPr>
        <w:keepNext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54D" w:rsidRPr="00FC1FE9" w:rsidRDefault="00E1554D" w:rsidP="00CF4C8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411B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bookmarkStart w:id="0" w:name="_GoBack"/>
      <w:bookmarkEnd w:id="0"/>
    </w:p>
    <w:p w:rsidR="003A0138" w:rsidRDefault="003A0138" w:rsidP="00B411B2">
      <w:pPr>
        <w:keepNext/>
        <w:rPr>
          <w:rFonts w:ascii="Times New Roman" w:hAnsi="Times New Roman" w:cs="Times New Roman"/>
          <w:sz w:val="24"/>
          <w:szCs w:val="24"/>
        </w:rPr>
      </w:pPr>
    </w:p>
    <w:p w:rsidR="00977584" w:rsidRPr="00977584" w:rsidRDefault="00977584" w:rsidP="00977584">
      <w:pPr>
        <w:pStyle w:val="Default"/>
        <w:jc w:val="both"/>
        <w:rPr>
          <w:b/>
          <w:sz w:val="22"/>
          <w:szCs w:val="22"/>
        </w:rPr>
      </w:pPr>
      <w:r w:rsidRPr="00977584">
        <w:rPr>
          <w:b/>
          <w:sz w:val="22"/>
          <w:szCs w:val="22"/>
        </w:rPr>
        <w:t xml:space="preserve">Shrnutí: </w:t>
      </w:r>
    </w:p>
    <w:p w:rsidR="00977584" w:rsidRPr="00977584" w:rsidRDefault="00977584" w:rsidP="00977584">
      <w:pPr>
        <w:pStyle w:val="Default"/>
        <w:jc w:val="both"/>
        <w:rPr>
          <w:b/>
          <w:sz w:val="22"/>
          <w:szCs w:val="22"/>
        </w:rPr>
      </w:pPr>
    </w:p>
    <w:p w:rsidR="00977584" w:rsidRPr="00977584" w:rsidRDefault="00977584" w:rsidP="00977584">
      <w:pPr>
        <w:pStyle w:val="Default"/>
        <w:jc w:val="both"/>
        <w:rPr>
          <w:b/>
          <w:color w:val="auto"/>
          <w:sz w:val="22"/>
          <w:szCs w:val="22"/>
        </w:rPr>
      </w:pPr>
      <w:r w:rsidRPr="00977584">
        <w:rPr>
          <w:b/>
          <w:color w:val="auto"/>
          <w:sz w:val="22"/>
          <w:szCs w:val="22"/>
        </w:rPr>
        <w:t>Odbor regionálního rozvoje (dále jen „ORR“) Krajského úřadu Karlovarského kraje předkládá informaci o Programu rozvoje Karlovarského kraje na období 2021- 2027 (dále také „PRKK21+“ nebo „PRKK“).</w:t>
      </w:r>
    </w:p>
    <w:p w:rsidR="00977584" w:rsidRPr="00977584" w:rsidRDefault="00977584" w:rsidP="00977584">
      <w:pPr>
        <w:pStyle w:val="Default"/>
        <w:jc w:val="both"/>
        <w:rPr>
          <w:b/>
          <w:color w:val="auto"/>
          <w:sz w:val="22"/>
          <w:szCs w:val="22"/>
        </w:rPr>
      </w:pPr>
    </w:p>
    <w:p w:rsidR="00977584" w:rsidRPr="00977584" w:rsidRDefault="00977584" w:rsidP="00977584">
      <w:pPr>
        <w:tabs>
          <w:tab w:val="num" w:pos="720"/>
        </w:tabs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/>
          <w:szCs w:val="22"/>
        </w:rPr>
        <w:t xml:space="preserve">Program rozvoje kraje </w:t>
      </w:r>
      <w:r w:rsidRPr="00977584">
        <w:rPr>
          <w:rFonts w:ascii="Times New Roman" w:hAnsi="Times New Roman" w:cs="Times New Roman"/>
          <w:szCs w:val="22"/>
        </w:rPr>
        <w:t xml:space="preserve">je základní strategický dokument kraje, jenž určuje rozvojové záměry kraje. Vzniká na základě zákona  č. 248/2000 Sb., o podpoře regionálního rozvoje, v platném znění. V zákoně je v </w:t>
      </w:r>
      <w:r w:rsidRPr="00977584">
        <w:rPr>
          <w:rFonts w:ascii="Times New Roman" w:hAnsi="Times New Roman" w:cs="Times New Roman"/>
          <w:szCs w:val="22"/>
          <w:lang w:val="pl-PL"/>
        </w:rPr>
        <w:t xml:space="preserve">§ 12  označen názvem „strategie rozvoje územního obvodu kraje” a každý územně samosprávný celek je povinnen ho zpracovat, schválit a implementovat. Dle zákona je tento dokukment definován </w:t>
      </w:r>
      <w:r w:rsidRPr="00977584">
        <w:rPr>
          <w:rFonts w:ascii="Times New Roman" w:hAnsi="Times New Roman" w:cs="Times New Roman"/>
          <w:szCs w:val="22"/>
          <w:lang w:val="pl-PL"/>
        </w:rPr>
        <w:lastRenderedPageBreak/>
        <w:t xml:space="preserve">jako  dokument, který určuje ve stanoveném období zaměření a cíle rozvoje kraje zejména s ohledem na dynamický a vyvážený rozvoj kraje a jednotlivých částí jeho území a stanoví základní podmínky pro naplňování těchto cílů. Z toho vyplývá, že daný dokument </w:t>
      </w:r>
      <w:r w:rsidRPr="00977584">
        <w:rPr>
          <w:rFonts w:ascii="Times New Roman" w:hAnsi="Times New Roman" w:cs="Times New Roman"/>
          <w:b/>
          <w:bCs/>
          <w:szCs w:val="22"/>
          <w:lang w:val="pl-PL"/>
        </w:rPr>
        <w:t xml:space="preserve">zahrnuje celé území kraje </w:t>
      </w:r>
      <w:r w:rsidRPr="00977584">
        <w:rPr>
          <w:rFonts w:ascii="Times New Roman" w:hAnsi="Times New Roman" w:cs="Times New Roman"/>
          <w:iCs/>
          <w:szCs w:val="22"/>
          <w:lang w:val="pl-PL"/>
        </w:rPr>
        <w:t>nikoli pouze potřeby/aktivity krajského úřadu</w:t>
      </w:r>
      <w:r w:rsidRPr="00977584">
        <w:rPr>
          <w:rFonts w:ascii="Times New Roman" w:hAnsi="Times New Roman" w:cs="Times New Roman"/>
          <w:szCs w:val="22"/>
          <w:lang w:val="pl-PL"/>
        </w:rPr>
        <w:t>.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color w:val="FF0000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Usnesením Rady Karlovarského kraje ze dne 05.08.2019 (č. RK 950/08/19) a Zastupitelstva Karlovarského kraje ze dne 23.09.2019 (č. ZK 346/09/19) bylo rozhodnuto o zpracování nového PRKK</w:t>
      </w:r>
      <w:r w:rsidRPr="00977584">
        <w:rPr>
          <w:rFonts w:ascii="Times New Roman" w:hAnsi="Times New Roman" w:cs="Times New Roman"/>
          <w:b/>
          <w:szCs w:val="22"/>
        </w:rPr>
        <w:t xml:space="preserve"> </w:t>
      </w:r>
      <w:r w:rsidRPr="00977584">
        <w:rPr>
          <w:rFonts w:ascii="Times New Roman" w:hAnsi="Times New Roman" w:cs="Times New Roman"/>
          <w:szCs w:val="22"/>
        </w:rPr>
        <w:t xml:space="preserve">na programové období EU 2021 – 2027 vlastními silami a prodloužení platnosti stávajícího znění do roku 2021. Koordinátorem byl stanoven ORR. Na základě tohoto rozhodnutí byly osloveny věcně příslušné odbory kraje s žádostí o spolupráci a o jmenování garantů za svůj odbor, kteří byli zpracováním jednotlivých tematických oblastí pověřeni.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PRKK 21+ byl tedy zpracováván cca od 09/2019 až doposud.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color w:val="FF0000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/>
          <w:szCs w:val="22"/>
        </w:rPr>
        <w:t xml:space="preserve">PRKK 21+ </w:t>
      </w:r>
      <w:r w:rsidRPr="00977584">
        <w:rPr>
          <w:rFonts w:ascii="Times New Roman" w:hAnsi="Times New Roman" w:cs="Times New Roman"/>
          <w:szCs w:val="22"/>
        </w:rPr>
        <w:t xml:space="preserve"> má </w:t>
      </w:r>
      <w:r w:rsidRPr="00977584">
        <w:rPr>
          <w:rFonts w:ascii="Times New Roman" w:hAnsi="Times New Roman" w:cs="Times New Roman"/>
          <w:bCs/>
          <w:szCs w:val="22"/>
        </w:rPr>
        <w:t>2 základní části:</w:t>
      </w:r>
    </w:p>
    <w:p w:rsidR="00977584" w:rsidRPr="00977584" w:rsidRDefault="00977584" w:rsidP="00977584">
      <w:pPr>
        <w:numPr>
          <w:ilvl w:val="0"/>
          <w:numId w:val="22"/>
        </w:numPr>
        <w:tabs>
          <w:tab w:val="clear" w:pos="720"/>
        </w:tabs>
        <w:spacing w:line="240" w:lineRule="auto"/>
        <w:ind w:left="425" w:hanging="283"/>
        <w:rPr>
          <w:rFonts w:ascii="Times New Roman" w:hAnsi="Times New Roman" w:cs="Times New Roman"/>
          <w:b/>
          <w:szCs w:val="22"/>
        </w:rPr>
      </w:pPr>
      <w:r w:rsidRPr="00977584">
        <w:rPr>
          <w:rFonts w:ascii="Times New Roman" w:hAnsi="Times New Roman" w:cs="Times New Roman"/>
          <w:b/>
          <w:bCs/>
          <w:szCs w:val="22"/>
        </w:rPr>
        <w:t xml:space="preserve">Analytická část </w:t>
      </w:r>
    </w:p>
    <w:p w:rsidR="00977584" w:rsidRPr="00977584" w:rsidRDefault="00977584" w:rsidP="00977584">
      <w:pPr>
        <w:numPr>
          <w:ilvl w:val="0"/>
          <w:numId w:val="22"/>
        </w:numPr>
        <w:tabs>
          <w:tab w:val="clear" w:pos="720"/>
        </w:tabs>
        <w:spacing w:line="240" w:lineRule="auto"/>
        <w:ind w:left="425" w:hanging="283"/>
        <w:rPr>
          <w:rFonts w:ascii="Times New Roman" w:hAnsi="Times New Roman" w:cs="Times New Roman"/>
          <w:b/>
          <w:szCs w:val="22"/>
        </w:rPr>
      </w:pPr>
      <w:r w:rsidRPr="00977584">
        <w:rPr>
          <w:rFonts w:ascii="Times New Roman" w:hAnsi="Times New Roman" w:cs="Times New Roman"/>
          <w:b/>
          <w:bCs/>
          <w:szCs w:val="22"/>
        </w:rPr>
        <w:t>Strategická část vč. implementace</w:t>
      </w:r>
    </w:p>
    <w:p w:rsidR="00977584" w:rsidRPr="00977584" w:rsidRDefault="00977584" w:rsidP="00977584">
      <w:pPr>
        <w:ind w:left="720"/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ind w:left="720"/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numPr>
          <w:ilvl w:val="0"/>
          <w:numId w:val="23"/>
        </w:numPr>
        <w:spacing w:line="240" w:lineRule="auto"/>
        <w:ind w:left="426" w:hanging="426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/>
          <w:szCs w:val="22"/>
          <w:u w:val="single"/>
        </w:rPr>
        <w:t>Analytická část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je část popisná, shrnuje dle dostupných statistických dat (v okamžiku zpracování) současnou hospodářskou situaci kraje, a to ve všech oblastech hospodářství. Konkrétně obsahuje tyto okruhy: 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Územní dimenze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Demografický vývoj a změny v osídlení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Makroekonomický vývoj, 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Odvětvová specializace kraje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Útlum těžby uhlí a transformace energetiky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 xml:space="preserve">Cestovní ruch </w:t>
      </w:r>
      <w:r w:rsidRPr="00977584">
        <w:rPr>
          <w:rFonts w:ascii="Times New Roman" w:hAnsi="Times New Roman" w:cs="Times New Roman"/>
          <w:szCs w:val="22"/>
        </w:rPr>
        <w:t>a lázeňství, památky a památková péče, kultura a kreativní průmysl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Školství</w:t>
      </w:r>
      <w:r w:rsidRPr="00977584">
        <w:rPr>
          <w:rFonts w:ascii="Times New Roman" w:hAnsi="Times New Roman" w:cs="Times New Roman"/>
          <w:szCs w:val="22"/>
        </w:rPr>
        <w:t xml:space="preserve"> a vzdělanost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Zdravotnictví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Sociální služb</w:t>
      </w:r>
      <w:r w:rsidRPr="00977584">
        <w:rPr>
          <w:rFonts w:ascii="Times New Roman" w:hAnsi="Times New Roman" w:cs="Times New Roman"/>
          <w:szCs w:val="22"/>
        </w:rPr>
        <w:t>y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Sociálně vyloučené lokality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Pozemní dopravní infrastruktura a </w:t>
      </w:r>
      <w:r w:rsidRPr="00977584">
        <w:rPr>
          <w:rFonts w:ascii="Times New Roman" w:hAnsi="Times New Roman" w:cs="Times New Roman"/>
          <w:bCs/>
          <w:szCs w:val="22"/>
        </w:rPr>
        <w:t>doprava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Letiště v Karlových Varech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Kvalita </w:t>
      </w:r>
      <w:r w:rsidRPr="00977584">
        <w:rPr>
          <w:rFonts w:ascii="Times New Roman" w:hAnsi="Times New Roman" w:cs="Times New Roman"/>
          <w:bCs/>
          <w:szCs w:val="22"/>
        </w:rPr>
        <w:t>životního</w:t>
      </w:r>
      <w:r w:rsidRPr="00977584">
        <w:rPr>
          <w:rFonts w:ascii="Times New Roman" w:hAnsi="Times New Roman" w:cs="Times New Roman"/>
          <w:szCs w:val="22"/>
        </w:rPr>
        <w:t xml:space="preserve"> </w:t>
      </w:r>
      <w:r w:rsidRPr="00977584">
        <w:rPr>
          <w:rFonts w:ascii="Times New Roman" w:hAnsi="Times New Roman" w:cs="Times New Roman"/>
          <w:bCs/>
          <w:szCs w:val="22"/>
        </w:rPr>
        <w:t>prostředí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Zemědělství</w:t>
      </w:r>
      <w:r w:rsidRPr="00977584">
        <w:rPr>
          <w:rFonts w:ascii="Times New Roman" w:hAnsi="Times New Roman" w:cs="Times New Roman"/>
          <w:szCs w:val="22"/>
        </w:rPr>
        <w:t>, lesnictví a rybolov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Bezpečnostní</w:t>
      </w:r>
      <w:r w:rsidRPr="00977584">
        <w:rPr>
          <w:rFonts w:ascii="Times New Roman" w:hAnsi="Times New Roman" w:cs="Times New Roman"/>
          <w:szCs w:val="22"/>
        </w:rPr>
        <w:t xml:space="preserve"> </w:t>
      </w:r>
      <w:r w:rsidRPr="00977584">
        <w:rPr>
          <w:rFonts w:ascii="Times New Roman" w:hAnsi="Times New Roman" w:cs="Times New Roman"/>
          <w:bCs/>
          <w:szCs w:val="22"/>
        </w:rPr>
        <w:t>infrastruktura</w:t>
      </w:r>
      <w:r w:rsidRPr="00977584">
        <w:rPr>
          <w:rFonts w:ascii="Times New Roman" w:hAnsi="Times New Roman" w:cs="Times New Roman"/>
          <w:szCs w:val="22"/>
        </w:rPr>
        <w:t xml:space="preserve"> a bezpečnostní situace v kraji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Efektivní </w:t>
      </w:r>
      <w:r w:rsidRPr="00977584">
        <w:rPr>
          <w:rFonts w:ascii="Times New Roman" w:hAnsi="Times New Roman" w:cs="Times New Roman"/>
          <w:bCs/>
          <w:szCs w:val="22"/>
        </w:rPr>
        <w:t>veřejná správa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Informační</w:t>
      </w:r>
      <w:r w:rsidRPr="00977584">
        <w:rPr>
          <w:rFonts w:ascii="Times New Roman" w:hAnsi="Times New Roman" w:cs="Times New Roman"/>
          <w:szCs w:val="22"/>
        </w:rPr>
        <w:t xml:space="preserve"> a komunikační </w:t>
      </w:r>
      <w:r w:rsidRPr="00977584">
        <w:rPr>
          <w:rFonts w:ascii="Times New Roman" w:hAnsi="Times New Roman" w:cs="Times New Roman"/>
          <w:bCs/>
          <w:szCs w:val="22"/>
        </w:rPr>
        <w:t>technologie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>Mezinárodní</w:t>
      </w:r>
      <w:r w:rsidRPr="00977584">
        <w:rPr>
          <w:rFonts w:ascii="Times New Roman" w:hAnsi="Times New Roman" w:cs="Times New Roman"/>
          <w:szCs w:val="22"/>
        </w:rPr>
        <w:t xml:space="preserve"> aktivity a mezinárodní </w:t>
      </w:r>
      <w:r w:rsidRPr="00977584">
        <w:rPr>
          <w:rFonts w:ascii="Times New Roman" w:hAnsi="Times New Roman" w:cs="Times New Roman"/>
          <w:bCs/>
          <w:szCs w:val="22"/>
        </w:rPr>
        <w:t>spolupráce</w:t>
      </w:r>
    </w:p>
    <w:p w:rsidR="00977584" w:rsidRPr="00977584" w:rsidRDefault="00977584" w:rsidP="00977584">
      <w:pPr>
        <w:ind w:left="720"/>
        <w:jc w:val="both"/>
        <w:rPr>
          <w:rFonts w:ascii="Times New Roman" w:hAnsi="Times New Roman" w:cs="Times New Roman"/>
          <w:bCs/>
          <w:szCs w:val="22"/>
        </w:rPr>
      </w:pPr>
    </w:p>
    <w:p w:rsidR="00977584" w:rsidRPr="00977584" w:rsidRDefault="00977584" w:rsidP="00977584">
      <w:pPr>
        <w:numPr>
          <w:ilvl w:val="0"/>
          <w:numId w:val="23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bCs/>
          <w:szCs w:val="22"/>
          <w:u w:val="single"/>
        </w:rPr>
      </w:pPr>
      <w:r w:rsidRPr="00977584">
        <w:rPr>
          <w:rFonts w:ascii="Times New Roman" w:hAnsi="Times New Roman" w:cs="Times New Roman"/>
          <w:b/>
          <w:bCs/>
          <w:szCs w:val="22"/>
          <w:u w:val="single"/>
        </w:rPr>
        <w:t>Strategická část a implementace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b/>
          <w:bCs/>
          <w:szCs w:val="22"/>
          <w:u w:val="single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b/>
          <w:bCs/>
          <w:szCs w:val="22"/>
          <w:u w:val="single"/>
        </w:rPr>
      </w:pPr>
      <w:r w:rsidRPr="00977584">
        <w:rPr>
          <w:rFonts w:ascii="Times New Roman" w:hAnsi="Times New Roman" w:cs="Times New Roman"/>
          <w:b/>
          <w:bCs/>
          <w:szCs w:val="22"/>
        </w:rPr>
        <w:t xml:space="preserve">II. a) </w:t>
      </w:r>
      <w:r w:rsidRPr="00977584">
        <w:rPr>
          <w:rFonts w:ascii="Times New Roman" w:hAnsi="Times New Roman" w:cs="Times New Roman"/>
          <w:b/>
          <w:bCs/>
          <w:szCs w:val="22"/>
          <w:u w:val="single"/>
        </w:rPr>
        <w:t>Strategická část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bCs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bCs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 xml:space="preserve">je již tzv. část návrhová a </w:t>
      </w:r>
      <w:r w:rsidRPr="00977584">
        <w:rPr>
          <w:rFonts w:ascii="Times New Roman" w:hAnsi="Times New Roman" w:cs="Times New Roman"/>
          <w:szCs w:val="22"/>
        </w:rPr>
        <w:t>je členěna na několik úrovní</w:t>
      </w:r>
      <w:r w:rsidRPr="00977584">
        <w:rPr>
          <w:rFonts w:ascii="Times New Roman" w:hAnsi="Times New Roman" w:cs="Times New Roman"/>
          <w:bCs/>
          <w:szCs w:val="22"/>
        </w:rPr>
        <w:t>: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 xml:space="preserve">Strategickou vizi Karlovarského kraje 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Cs/>
          <w:szCs w:val="22"/>
        </w:rPr>
        <w:t xml:space="preserve">Globální cíle Karlovarského kraje 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Prioritní oblasti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Specifické cíle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lastRenderedPageBreak/>
        <w:t>Opatření</w:t>
      </w:r>
    </w:p>
    <w:p w:rsidR="00977584" w:rsidRPr="00977584" w:rsidRDefault="00977584" w:rsidP="00977584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Typové aktivity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b/>
          <w:szCs w:val="22"/>
        </w:rPr>
        <w:t>Strategická vize</w:t>
      </w:r>
      <w:r w:rsidRPr="00977584">
        <w:rPr>
          <w:rFonts w:ascii="Times New Roman" w:hAnsi="Times New Roman" w:cs="Times New Roman"/>
          <w:szCs w:val="22"/>
        </w:rPr>
        <w:t xml:space="preserve"> Karlovarského kraje je na vrcholu této pomyslné pyramidy. Jedná se o deklaraci toho, čeho chceme v rámci realizace a implementace PRKK 2021-2027 dosáhnout. V daném dokumentu je definována takto: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i/>
          <w:iCs/>
          <w:szCs w:val="22"/>
        </w:rPr>
        <w:t>„Karlovarský kraj, ekonomicky prosperující a transformující se region, otevřený vůči evropským výzvám a impulzům, poskytující svým obyvatelům prostor pro kvalitní život založený na atraktivních přírodních podmínkách a sociálně vstřícném prostředí</w:t>
      </w:r>
      <w:r w:rsidRPr="00977584">
        <w:rPr>
          <w:rFonts w:ascii="Times New Roman" w:hAnsi="Times New Roman" w:cs="Times New Roman"/>
          <w:szCs w:val="22"/>
        </w:rPr>
        <w:t>.“</w:t>
      </w:r>
    </w:p>
    <w:p w:rsidR="00977584" w:rsidRPr="00977584" w:rsidRDefault="00977584" w:rsidP="00977584">
      <w:pPr>
        <w:ind w:left="720"/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  <w:lang w:eastAsia="en-US"/>
        </w:rPr>
      </w:pPr>
      <w:r w:rsidRPr="00977584">
        <w:rPr>
          <w:rFonts w:ascii="Times New Roman" w:hAnsi="Times New Roman" w:cs="Times New Roman"/>
          <w:szCs w:val="22"/>
          <w:lang w:eastAsia="en-US"/>
        </w:rPr>
        <w:t xml:space="preserve">Tato vize se rozpadá do třech </w:t>
      </w:r>
      <w:r w:rsidRPr="00977584">
        <w:rPr>
          <w:rFonts w:ascii="Times New Roman" w:hAnsi="Times New Roman" w:cs="Times New Roman"/>
          <w:b/>
          <w:szCs w:val="22"/>
          <w:lang w:eastAsia="en-US"/>
        </w:rPr>
        <w:t>globálních cílů</w:t>
      </w:r>
      <w:r w:rsidRPr="00977584">
        <w:rPr>
          <w:rFonts w:ascii="Times New Roman" w:hAnsi="Times New Roman" w:cs="Times New Roman"/>
          <w:szCs w:val="22"/>
          <w:lang w:eastAsia="en-US"/>
        </w:rPr>
        <w:t xml:space="preserve">, které zdůrazňují provázanost, neoddělitelnost a vzájemnou podmíněnost dílčích skupin problémů, kterým Karlovarský kraj čelí. Konkrétně: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A. Růst ekonomické konkurenceschopnosti kraje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B. Růst atraktivity kraje pro jeho obyvatele, investory, návštěvníky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C. Intenzivnější přeshraniční a meziregionální vztahy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  <w:lang w:eastAsia="en-US"/>
        </w:rPr>
        <w:t xml:space="preserve">Všechny globální cíle pak mají jasnou vazbu na všechny níže uvedené </w:t>
      </w:r>
      <w:r w:rsidRPr="00977584">
        <w:rPr>
          <w:rFonts w:ascii="Times New Roman" w:hAnsi="Times New Roman" w:cs="Times New Roman"/>
          <w:b/>
          <w:szCs w:val="22"/>
        </w:rPr>
        <w:t>prioritní oblasti</w:t>
      </w:r>
      <w:r w:rsidRPr="00977584">
        <w:rPr>
          <w:rFonts w:ascii="Times New Roman" w:hAnsi="Times New Roman" w:cs="Times New Roman"/>
          <w:szCs w:val="22"/>
        </w:rPr>
        <w:t xml:space="preserve"> (dále také „PO“):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1 - Hospodářsky prosperující a atraktivní region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2 - Lázeňství, cestovní ruch, kultura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3 - Vzdělávání a sport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4 - Sociální oblast a zdravotnictví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5 - Životní prostředí, zemědělství, energetika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6 - Doprava </w:t>
      </w:r>
    </w:p>
    <w:p w:rsidR="00977584" w:rsidRPr="00977584" w:rsidRDefault="00977584" w:rsidP="00977584">
      <w:pPr>
        <w:pStyle w:val="Default"/>
        <w:ind w:left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 xml:space="preserve">PO 7 - Správa, ochrana a rozvoj území </w:t>
      </w:r>
    </w:p>
    <w:p w:rsidR="00977584" w:rsidRPr="00977584" w:rsidRDefault="00977584" w:rsidP="00977584">
      <w:pPr>
        <w:pStyle w:val="Default"/>
        <w:ind w:firstLine="284"/>
        <w:jc w:val="both"/>
        <w:rPr>
          <w:color w:val="auto"/>
          <w:sz w:val="22"/>
          <w:szCs w:val="22"/>
        </w:rPr>
      </w:pPr>
      <w:r w:rsidRPr="00977584">
        <w:rPr>
          <w:color w:val="auto"/>
          <w:sz w:val="22"/>
          <w:szCs w:val="22"/>
        </w:rPr>
        <w:t>PO průřezová - Image kraje</w:t>
      </w:r>
    </w:p>
    <w:p w:rsidR="00977584" w:rsidRPr="00977584" w:rsidRDefault="00977584" w:rsidP="00977584">
      <w:pPr>
        <w:spacing w:before="240"/>
        <w:jc w:val="both"/>
        <w:rPr>
          <w:rFonts w:ascii="Times New Roman" w:hAnsi="Times New Roman" w:cs="Times New Roman"/>
          <w:szCs w:val="22"/>
          <w:lang w:eastAsia="en-US"/>
        </w:rPr>
      </w:pPr>
      <w:r w:rsidRPr="00977584">
        <w:rPr>
          <w:rFonts w:ascii="Times New Roman" w:hAnsi="Times New Roman" w:cs="Times New Roman"/>
          <w:szCs w:val="22"/>
          <w:lang w:eastAsia="en-US"/>
        </w:rPr>
        <w:t xml:space="preserve">Prioritní oblasti, které jsou v některých případech rozděleny (pro lepší přehlednost) do </w:t>
      </w:r>
      <w:r w:rsidRPr="00977584">
        <w:rPr>
          <w:rFonts w:ascii="Times New Roman" w:hAnsi="Times New Roman" w:cs="Times New Roman"/>
          <w:b/>
          <w:szCs w:val="22"/>
          <w:lang w:eastAsia="en-US"/>
        </w:rPr>
        <w:t>podoblastí</w:t>
      </w:r>
      <w:r w:rsidRPr="00977584">
        <w:rPr>
          <w:rFonts w:ascii="Times New Roman" w:hAnsi="Times New Roman" w:cs="Times New Roman"/>
          <w:szCs w:val="22"/>
          <w:lang w:eastAsia="en-US"/>
        </w:rPr>
        <w:t xml:space="preserve">, jsou dále členěny do </w:t>
      </w:r>
      <w:r w:rsidRPr="00977584">
        <w:rPr>
          <w:rFonts w:ascii="Times New Roman" w:hAnsi="Times New Roman" w:cs="Times New Roman"/>
          <w:b/>
          <w:szCs w:val="22"/>
          <w:lang w:eastAsia="en-US"/>
        </w:rPr>
        <w:t>specifických cílů</w:t>
      </w:r>
      <w:r w:rsidRPr="00977584">
        <w:rPr>
          <w:rFonts w:ascii="Times New Roman" w:hAnsi="Times New Roman" w:cs="Times New Roman"/>
          <w:szCs w:val="22"/>
          <w:lang w:eastAsia="en-US"/>
        </w:rPr>
        <w:t xml:space="preserve"> a ty do </w:t>
      </w:r>
      <w:r w:rsidRPr="00977584">
        <w:rPr>
          <w:rFonts w:ascii="Times New Roman" w:hAnsi="Times New Roman" w:cs="Times New Roman"/>
          <w:b/>
          <w:szCs w:val="22"/>
          <w:lang w:eastAsia="en-US"/>
        </w:rPr>
        <w:t>opatření</w:t>
      </w:r>
      <w:r w:rsidRPr="00977584">
        <w:rPr>
          <w:rFonts w:ascii="Times New Roman" w:hAnsi="Times New Roman" w:cs="Times New Roman"/>
          <w:szCs w:val="22"/>
          <w:lang w:eastAsia="en-US"/>
        </w:rPr>
        <w:t>. PRKK21+ obsahuje celkem</w:t>
      </w:r>
      <w:r w:rsidRPr="00977584" w:rsidDel="00251E69">
        <w:rPr>
          <w:rFonts w:ascii="Times New Roman" w:hAnsi="Times New Roman" w:cs="Times New Roman"/>
          <w:szCs w:val="22"/>
          <w:lang w:eastAsia="en-US"/>
        </w:rPr>
        <w:t xml:space="preserve"> </w:t>
      </w:r>
      <w:r w:rsidRPr="00977584">
        <w:rPr>
          <w:rFonts w:ascii="Times New Roman" w:hAnsi="Times New Roman" w:cs="Times New Roman"/>
          <w:szCs w:val="22"/>
          <w:lang w:eastAsia="en-US"/>
        </w:rPr>
        <w:t xml:space="preserve">37 specifických cílů a 119 opatření.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U jednotlivých opatření jsou uváděny také příklady typových aktivit, které mohou být účelné zejména pro definování následných konkrétních projektů.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Celá struktura je pak </w:t>
      </w:r>
      <w:r w:rsidRPr="00977584">
        <w:rPr>
          <w:rFonts w:ascii="Times New Roman" w:hAnsi="Times New Roman" w:cs="Times New Roman"/>
          <w:b/>
          <w:szCs w:val="22"/>
        </w:rPr>
        <w:t>přílohou č. 1</w:t>
      </w:r>
      <w:r w:rsidRPr="00977584">
        <w:rPr>
          <w:rFonts w:ascii="Times New Roman" w:hAnsi="Times New Roman" w:cs="Times New Roman"/>
          <w:szCs w:val="22"/>
        </w:rPr>
        <w:t xml:space="preserve"> tohoto materiálu.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b/>
          <w:bCs/>
          <w:szCs w:val="22"/>
          <w:u w:val="single"/>
        </w:rPr>
      </w:pPr>
      <w:r w:rsidRPr="00977584">
        <w:rPr>
          <w:rFonts w:ascii="Times New Roman" w:hAnsi="Times New Roman" w:cs="Times New Roman"/>
          <w:b/>
          <w:bCs/>
          <w:szCs w:val="22"/>
        </w:rPr>
        <w:t xml:space="preserve">II. b) </w:t>
      </w:r>
      <w:r w:rsidRPr="00977584">
        <w:rPr>
          <w:rFonts w:ascii="Times New Roman" w:hAnsi="Times New Roman" w:cs="Times New Roman"/>
          <w:b/>
          <w:bCs/>
          <w:szCs w:val="22"/>
          <w:u w:val="single"/>
        </w:rPr>
        <w:t>Implementační část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určuje jednotlivé kroky, které je potřeba pravidelně provádět, aby byl PRKK naplňován, a aby mohlo být dosahováno cílů stanovených ve strategické části.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Struktura implementační části je následující: </w:t>
      </w:r>
    </w:p>
    <w:p w:rsidR="00977584" w:rsidRPr="00977584" w:rsidRDefault="00977584" w:rsidP="00977584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Organizační zajištění implementace, včetně nastavení rolí zapojených subjektů</w:t>
      </w:r>
    </w:p>
    <w:p w:rsidR="00977584" w:rsidRPr="00977584" w:rsidRDefault="00977584" w:rsidP="00977584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Způsob pro naplňování PRKK </w:t>
      </w:r>
    </w:p>
    <w:p w:rsidR="00977584" w:rsidRPr="00977584" w:rsidRDefault="00977584" w:rsidP="00977584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Způsob hodnocení PRKK </w:t>
      </w:r>
    </w:p>
    <w:p w:rsidR="00977584" w:rsidRPr="00977584" w:rsidRDefault="00977584" w:rsidP="00977584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Harmonogram aktivit (popis ročního cyklu realizace jednotlivých aktivit)</w:t>
      </w:r>
    </w:p>
    <w:p w:rsidR="00977584" w:rsidRPr="00977584" w:rsidRDefault="00977584" w:rsidP="00977584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Řízení změn a způsob aktualizace PRKK</w:t>
      </w:r>
    </w:p>
    <w:p w:rsidR="00977584" w:rsidRPr="00977584" w:rsidRDefault="00977584" w:rsidP="00977584">
      <w:pPr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Evaluace strategie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>Krajský úřad Karlovarského kraje je realizátorem PRKK, nicméně nemůže všechny aktivity v rámci implementace zajišťovat sám, ale v součinnosti s příslušnými subjekty / organizacemi. Odbory krajského úřadu Karlovarského kraje, ev. jeho příspěvkové organizace jsou garanty opatření, tj. usilují o realizaci aktivit a projektů, které daná opatření naplňují. Koordinaci celého procesu má na starost koordinátor PRKK, který spolupracuje s garanty jednotlivých opatření a je odpovědný za aktualizaci PRKK, monitorování realizace PRKK apod. Koordinátorem PRKK je ORR.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b/>
          <w:szCs w:val="22"/>
          <w:u w:val="single"/>
        </w:rPr>
      </w:pPr>
      <w:r w:rsidRPr="00977584">
        <w:rPr>
          <w:rFonts w:ascii="Times New Roman" w:hAnsi="Times New Roman" w:cs="Times New Roman"/>
          <w:b/>
          <w:szCs w:val="22"/>
          <w:u w:val="single"/>
        </w:rPr>
        <w:t>Harmonogram projednávání PRKK 2021-2027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b/>
          <w:szCs w:val="22"/>
          <w:u w:val="single"/>
        </w:rPr>
      </w:pP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  <w:r w:rsidRPr="00977584">
        <w:rPr>
          <w:rFonts w:ascii="Times New Roman" w:hAnsi="Times New Roman" w:cs="Times New Roman"/>
          <w:szCs w:val="22"/>
        </w:rPr>
        <w:t xml:space="preserve">Vzhledem k nutnosti realizovat v rámci daného dokumentu i tzv. proces SEA (Posuzování vlivů koncepcí na životní prostředí dle zákona č. 100/2001 Sb., o posuzování vlivů na životní prostředí, ve znění pozdějších předpisů), je proces projednávání poměrně časově náročný. Předběžný harmonogram je k dispozici zde: </w:t>
      </w:r>
    </w:p>
    <w:p w:rsidR="00977584" w:rsidRPr="00977584" w:rsidRDefault="00977584" w:rsidP="00977584">
      <w:pPr>
        <w:jc w:val="both"/>
        <w:rPr>
          <w:rFonts w:ascii="Times New Roman" w:hAnsi="Times New Roman" w:cs="Times New Roman"/>
          <w:szCs w:val="22"/>
        </w:rPr>
      </w:pPr>
    </w:p>
    <w:tbl>
      <w:tblPr>
        <w:tblW w:w="6159" w:type="dxa"/>
        <w:tblInd w:w="14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6"/>
        <w:gridCol w:w="2276"/>
        <w:gridCol w:w="1127"/>
      </w:tblGrid>
      <w:tr w:rsidR="00977584" w:rsidRPr="00977584" w:rsidTr="00A5693A">
        <w:trPr>
          <w:gridAfter w:val="1"/>
          <w:wAfter w:w="1127" w:type="dxa"/>
          <w:trHeight w:val="265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 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Termíny jednání</w:t>
            </w:r>
          </w:p>
        </w:tc>
      </w:tr>
      <w:tr w:rsidR="00977584" w:rsidRPr="00977584" w:rsidTr="00A5693A">
        <w:trPr>
          <w:trHeight w:val="33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Výbory/komise/vedení/RSK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szCs w:val="22"/>
              </w:rPr>
              <w:t>04/2021</w:t>
            </w:r>
          </w:p>
        </w:tc>
        <w:tc>
          <w:tcPr>
            <w:tcW w:w="1127" w:type="dxa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7584" w:rsidRPr="00977584" w:rsidTr="00A5693A">
        <w:trPr>
          <w:trHeight w:val="33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SEA - zahájení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szCs w:val="22"/>
              </w:rPr>
              <w:t>05/2021</w:t>
            </w:r>
          </w:p>
        </w:tc>
        <w:tc>
          <w:tcPr>
            <w:tcW w:w="1127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7584" w:rsidRPr="00977584" w:rsidTr="00A5693A">
        <w:trPr>
          <w:trHeight w:val="33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SEA - ukončení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szCs w:val="22"/>
              </w:rPr>
              <w:t>9-10/2021</w:t>
            </w:r>
          </w:p>
        </w:tc>
        <w:tc>
          <w:tcPr>
            <w:tcW w:w="1127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7584" w:rsidRPr="00977584" w:rsidTr="00A5693A">
        <w:trPr>
          <w:trHeight w:val="33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RKK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szCs w:val="22"/>
              </w:rPr>
              <w:t>11-12/2021</w:t>
            </w:r>
          </w:p>
        </w:tc>
        <w:tc>
          <w:tcPr>
            <w:tcW w:w="1127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77584" w:rsidRPr="00977584" w:rsidTr="00A5693A">
        <w:trPr>
          <w:trHeight w:val="76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b/>
                <w:bCs/>
                <w:szCs w:val="22"/>
              </w:rPr>
              <w:t>ZKK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977584">
              <w:rPr>
                <w:rFonts w:ascii="Times New Roman" w:hAnsi="Times New Roman" w:cs="Times New Roman"/>
                <w:szCs w:val="22"/>
              </w:rPr>
              <w:t>11-12/2021</w:t>
            </w:r>
          </w:p>
        </w:tc>
        <w:tc>
          <w:tcPr>
            <w:tcW w:w="1127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77584" w:rsidRPr="00977584" w:rsidRDefault="00977584" w:rsidP="00A5693A">
            <w:pPr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977584" w:rsidRPr="00977584" w:rsidRDefault="00977584" w:rsidP="00977584">
      <w:pPr>
        <w:jc w:val="both"/>
        <w:rPr>
          <w:rFonts w:ascii="Times New Roman" w:hAnsi="Times New Roman" w:cs="Times New Roman"/>
          <w:color w:val="FF0000"/>
          <w:szCs w:val="22"/>
        </w:rPr>
      </w:pPr>
    </w:p>
    <w:p w:rsidR="00977584" w:rsidRDefault="00977584" w:rsidP="00977584">
      <w:pPr>
        <w:jc w:val="both"/>
        <w:rPr>
          <w:color w:val="FF0000"/>
          <w:szCs w:val="22"/>
        </w:rPr>
      </w:pPr>
    </w:p>
    <w:p w:rsidR="00977584" w:rsidRDefault="00977584" w:rsidP="00977584">
      <w:pPr>
        <w:jc w:val="both"/>
        <w:rPr>
          <w:color w:val="FF0000"/>
          <w:szCs w:val="22"/>
        </w:rPr>
      </w:pPr>
    </w:p>
    <w:p w:rsidR="00260A28" w:rsidRPr="00260A28" w:rsidRDefault="00260A2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0A28">
        <w:rPr>
          <w:rFonts w:ascii="Times New Roman" w:hAnsi="Times New Roman" w:cs="Times New Roman"/>
          <w:b/>
          <w:sz w:val="24"/>
          <w:szCs w:val="24"/>
          <w:u w:val="single"/>
        </w:rPr>
        <w:t>Přílohy:</w:t>
      </w:r>
    </w:p>
    <w:p w:rsidR="00977584" w:rsidRDefault="009A4BB4" w:rsidP="0022768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B11</w:t>
      </w:r>
      <w:r w:rsidR="00227684" w:rsidRPr="00227684">
        <w:rPr>
          <w:rFonts w:ascii="Times New Roman" w:hAnsi="Times New Roman" w:cs="Times New Roman"/>
          <w:sz w:val="22"/>
          <w:szCs w:val="22"/>
        </w:rPr>
        <w:t>_Struktura PRKK21+_uprava_pro_projednani</w:t>
      </w:r>
    </w:p>
    <w:p w:rsidR="00977584" w:rsidRDefault="009A4BB4" w:rsidP="00227684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B11</w:t>
      </w:r>
      <w:r w:rsidR="00227684" w:rsidRPr="00227684">
        <w:rPr>
          <w:rFonts w:ascii="Times New Roman" w:hAnsi="Times New Roman" w:cs="Times New Roman"/>
          <w:sz w:val="22"/>
          <w:szCs w:val="22"/>
        </w:rPr>
        <w:t>_PRKK2021_2027_RSK_23_4_2021</w:t>
      </w:r>
    </w:p>
    <w:sectPr w:rsidR="0097758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97F" w:rsidRDefault="0004097F">
      <w:pPr>
        <w:spacing w:line="240" w:lineRule="auto"/>
      </w:pPr>
      <w:r>
        <w:separator/>
      </w:r>
    </w:p>
  </w:endnote>
  <w:endnote w:type="continuationSeparator" w:id="0">
    <w:p w:rsidR="0004097F" w:rsidRDefault="000409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97F" w:rsidRDefault="0004097F">
      <w:pPr>
        <w:spacing w:line="240" w:lineRule="auto"/>
      </w:pPr>
      <w:r>
        <w:separator/>
      </w:r>
    </w:p>
  </w:footnote>
  <w:footnote w:type="continuationSeparator" w:id="0">
    <w:p w:rsidR="0004097F" w:rsidRDefault="000409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FED"/>
    <w:multiLevelType w:val="hybridMultilevel"/>
    <w:tmpl w:val="401E361C"/>
    <w:lvl w:ilvl="0" w:tplc="5B8C6A98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0100E"/>
    <w:multiLevelType w:val="hybridMultilevel"/>
    <w:tmpl w:val="309A0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16535"/>
    <w:multiLevelType w:val="hybridMultilevel"/>
    <w:tmpl w:val="FFB67382"/>
    <w:lvl w:ilvl="0" w:tplc="A33E34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E8D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F6F5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7A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2A1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32C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86C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B83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460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66CA"/>
    <w:multiLevelType w:val="hybridMultilevel"/>
    <w:tmpl w:val="6BC62A44"/>
    <w:lvl w:ilvl="0" w:tplc="FFD0813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4E3D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CC2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128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366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F6D5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00E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422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C20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CEF65DE"/>
    <w:multiLevelType w:val="hybridMultilevel"/>
    <w:tmpl w:val="C354E45E"/>
    <w:lvl w:ilvl="0" w:tplc="63A64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061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64C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985E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E661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4AF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ACC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B61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6C0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77E96D74"/>
    <w:multiLevelType w:val="hybridMultilevel"/>
    <w:tmpl w:val="FDE4AEBA"/>
    <w:lvl w:ilvl="0" w:tplc="A63492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2"/>
  </w:num>
  <w:num w:numId="4">
    <w:abstractNumId w:val="15"/>
  </w:num>
  <w:num w:numId="5">
    <w:abstractNumId w:val="18"/>
  </w:num>
  <w:num w:numId="6">
    <w:abstractNumId w:val="21"/>
  </w:num>
  <w:num w:numId="7">
    <w:abstractNumId w:val="19"/>
  </w:num>
  <w:num w:numId="8">
    <w:abstractNumId w:val="10"/>
  </w:num>
  <w:num w:numId="9">
    <w:abstractNumId w:val="2"/>
  </w:num>
  <w:num w:numId="10">
    <w:abstractNumId w:val="20"/>
  </w:num>
  <w:num w:numId="11">
    <w:abstractNumId w:val="9"/>
  </w:num>
  <w:num w:numId="12">
    <w:abstractNumId w:val="13"/>
  </w:num>
  <w:num w:numId="13">
    <w:abstractNumId w:val="16"/>
  </w:num>
  <w:num w:numId="14">
    <w:abstractNumId w:val="8"/>
  </w:num>
  <w:num w:numId="15">
    <w:abstractNumId w:val="11"/>
  </w:num>
  <w:num w:numId="16">
    <w:abstractNumId w:val="14"/>
  </w:num>
  <w:num w:numId="17">
    <w:abstractNumId w:val="6"/>
  </w:num>
  <w:num w:numId="18">
    <w:abstractNumId w:val="3"/>
  </w:num>
  <w:num w:numId="19">
    <w:abstractNumId w:val="4"/>
  </w:num>
  <w:num w:numId="20">
    <w:abstractNumId w:val="23"/>
  </w:num>
  <w:num w:numId="21">
    <w:abstractNumId w:val="12"/>
  </w:num>
  <w:num w:numId="22">
    <w:abstractNumId w:val="7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209C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35052"/>
    <w:rsid w:val="00161133"/>
    <w:rsid w:val="00181F2D"/>
    <w:rsid w:val="00183F87"/>
    <w:rsid w:val="00184486"/>
    <w:rsid w:val="001C4B96"/>
    <w:rsid w:val="00212491"/>
    <w:rsid w:val="00217DD2"/>
    <w:rsid w:val="00227684"/>
    <w:rsid w:val="00236E1A"/>
    <w:rsid w:val="002607DF"/>
    <w:rsid w:val="00260A28"/>
    <w:rsid w:val="00276771"/>
    <w:rsid w:val="002B51E3"/>
    <w:rsid w:val="002D5B9A"/>
    <w:rsid w:val="002F5652"/>
    <w:rsid w:val="0030281C"/>
    <w:rsid w:val="003847DE"/>
    <w:rsid w:val="003A0138"/>
    <w:rsid w:val="003A5D55"/>
    <w:rsid w:val="003B7E49"/>
    <w:rsid w:val="003D2180"/>
    <w:rsid w:val="004325B3"/>
    <w:rsid w:val="004447BF"/>
    <w:rsid w:val="00464667"/>
    <w:rsid w:val="00490880"/>
    <w:rsid w:val="004A3414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6AAE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B7C5F"/>
    <w:rsid w:val="006C0C43"/>
    <w:rsid w:val="006C2865"/>
    <w:rsid w:val="006C747C"/>
    <w:rsid w:val="00721BF7"/>
    <w:rsid w:val="00732BF2"/>
    <w:rsid w:val="007B407E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940335"/>
    <w:rsid w:val="00961F8D"/>
    <w:rsid w:val="00977584"/>
    <w:rsid w:val="009A4BB4"/>
    <w:rsid w:val="009A5CC0"/>
    <w:rsid w:val="009D20FD"/>
    <w:rsid w:val="00A02F39"/>
    <w:rsid w:val="00A22842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21627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B701F"/>
    <w:rsid w:val="00BC2A66"/>
    <w:rsid w:val="00BF0B7D"/>
    <w:rsid w:val="00C02A15"/>
    <w:rsid w:val="00C0727D"/>
    <w:rsid w:val="00C14BDE"/>
    <w:rsid w:val="00C26D6A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91577"/>
    <w:rsid w:val="00DD43F5"/>
    <w:rsid w:val="00DE54BE"/>
    <w:rsid w:val="00DF30F6"/>
    <w:rsid w:val="00E1554D"/>
    <w:rsid w:val="00E16384"/>
    <w:rsid w:val="00E43F6D"/>
    <w:rsid w:val="00E817EB"/>
    <w:rsid w:val="00EE1B8B"/>
    <w:rsid w:val="00EE38D0"/>
    <w:rsid w:val="00EE44FF"/>
    <w:rsid w:val="00EE7156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C45F"/>
  <w15:docId w15:val="{38D21405-DAE2-4B84-B3FB-CE956E99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977584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[Normal]"/>
    <w:rsid w:val="00977584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05C1F-5C1D-4FCA-95C6-E739D33F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923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8</cp:revision>
  <dcterms:created xsi:type="dcterms:W3CDTF">2021-03-31T08:13:00Z</dcterms:created>
  <dcterms:modified xsi:type="dcterms:W3CDTF">2021-04-15T07:33:00Z</dcterms:modified>
</cp:coreProperties>
</file>