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08" w:rsidRPr="000B5608" w:rsidRDefault="00240A15" w:rsidP="000B5608">
      <w:pPr>
        <w:pStyle w:val="Nadpis1"/>
      </w:pPr>
      <w:bookmarkStart w:id="0" w:name="_GoBack"/>
      <w:bookmarkEnd w:id="0"/>
      <w:r>
        <w:t>Inovační fond</w:t>
      </w:r>
    </w:p>
    <w:p w:rsidR="00892D4C" w:rsidRDefault="00892D4C" w:rsidP="00892D4C"/>
    <w:p w:rsidR="00892D4C" w:rsidRDefault="0000695C" w:rsidP="00892D4C">
      <w:pPr>
        <w:pStyle w:val="Nadpis2"/>
        <w:rPr>
          <w:u w:val="single"/>
        </w:rPr>
      </w:pPr>
      <w:r>
        <w:rPr>
          <w:u w:val="single"/>
        </w:rPr>
        <w:t>Obecně</w:t>
      </w:r>
    </w:p>
    <w:p w:rsidR="0000695C" w:rsidRDefault="00F213E5" w:rsidP="0000695C">
      <w:r>
        <w:t xml:space="preserve">Zdroj: </w:t>
      </w:r>
      <w:hyperlink r:id="rId8" w:history="1">
        <w:r w:rsidRPr="00F42309">
          <w:rPr>
            <w:rStyle w:val="Hypertextovodkaz"/>
          </w:rPr>
          <w:t>https://ec.europa.eu/clima/eu-action/funding-climate-action/innovation-fund_en</w:t>
        </w:r>
      </w:hyperlink>
    </w:p>
    <w:p w:rsidR="00F213E5" w:rsidRDefault="00F213E5" w:rsidP="0000695C"/>
    <w:p w:rsidR="003A24BB" w:rsidRDefault="00240A15" w:rsidP="0000695C">
      <w:r>
        <w:t>Inovační fond je rozsáhlý dotační program Evropské Unie, který míří na inovativní nízkouhlíkové technologie a jejich využití. Hlavním cílem fondu je snižování emisí a výzkum a implementace průlomových technologií</w:t>
      </w:r>
      <w:r w:rsidR="003A24BB">
        <w:t xml:space="preserve">. </w:t>
      </w:r>
    </w:p>
    <w:p w:rsidR="00240A15" w:rsidRDefault="003A24BB" w:rsidP="0000695C">
      <w:r>
        <w:t>Fond míří na podporu:</w:t>
      </w:r>
    </w:p>
    <w:p w:rsidR="003A24BB" w:rsidRDefault="003A24BB" w:rsidP="003A24BB">
      <w:pPr>
        <w:pStyle w:val="Odstavecseseznamem"/>
        <w:numPr>
          <w:ilvl w:val="0"/>
          <w:numId w:val="4"/>
        </w:numPr>
      </w:pPr>
      <w:r>
        <w:t>Energeticky náročných odvětví</w:t>
      </w:r>
    </w:p>
    <w:p w:rsidR="003A24BB" w:rsidRDefault="003A24BB" w:rsidP="003A24BB">
      <w:pPr>
        <w:pStyle w:val="Odstavecseseznamem"/>
        <w:numPr>
          <w:ilvl w:val="0"/>
          <w:numId w:val="4"/>
        </w:numPr>
      </w:pPr>
      <w:r>
        <w:t>Obnovitelných zdrojů energie</w:t>
      </w:r>
    </w:p>
    <w:p w:rsidR="003A24BB" w:rsidRDefault="003A24BB" w:rsidP="003A24BB">
      <w:pPr>
        <w:pStyle w:val="Odstavecseseznamem"/>
        <w:numPr>
          <w:ilvl w:val="0"/>
          <w:numId w:val="4"/>
        </w:numPr>
      </w:pPr>
      <w:r>
        <w:t>Ukládání energie a akumulace</w:t>
      </w:r>
    </w:p>
    <w:p w:rsidR="003A24BB" w:rsidRDefault="003A24BB" w:rsidP="003A24BB">
      <w:pPr>
        <w:pStyle w:val="Odstavecseseznamem"/>
        <w:numPr>
          <w:ilvl w:val="0"/>
          <w:numId w:val="4"/>
        </w:numPr>
      </w:pPr>
      <w:r>
        <w:t>Zachytávání, ukládání a znovuvyužití skleníkových plynů (CCS, CCU, atd.)</w:t>
      </w:r>
    </w:p>
    <w:p w:rsidR="00140625" w:rsidRDefault="003A24BB" w:rsidP="0000695C">
      <w:r>
        <w:t>Program je naplánován do roku 2030 s plánovanou alokací 25 miliard euro. Míra a typ podpory se liší na dva druhy</w:t>
      </w:r>
      <w:r w:rsidR="00140625">
        <w:t>:</w:t>
      </w:r>
      <w:r>
        <w:t xml:space="preserve"> </w:t>
      </w:r>
    </w:p>
    <w:p w:rsidR="00140625" w:rsidRDefault="003A24BB" w:rsidP="00140625">
      <w:pPr>
        <w:pStyle w:val="Odstavecseseznamem"/>
        <w:numPr>
          <w:ilvl w:val="0"/>
          <w:numId w:val="5"/>
        </w:numPr>
      </w:pPr>
      <w:r>
        <w:t>malé projekty s</w:t>
      </w:r>
      <w:r w:rsidR="00140625">
        <w:t> </w:t>
      </w:r>
      <w:r>
        <w:t>celko</w:t>
      </w:r>
      <w:r w:rsidR="00140625">
        <w:t xml:space="preserve">vou kapitálovou náročností do 7,5 milionu euro – podpora až 60 % procent </w:t>
      </w:r>
      <w:r w:rsidR="00140625" w:rsidRPr="00140625">
        <w:rPr>
          <w:b/>
        </w:rPr>
        <w:t>veškerých</w:t>
      </w:r>
      <w:r w:rsidR="00140625">
        <w:t xml:space="preserve"> kapitálových nároků</w:t>
      </w:r>
    </w:p>
    <w:p w:rsidR="00140625" w:rsidRDefault="00140625" w:rsidP="00140625">
      <w:pPr>
        <w:pStyle w:val="Odstavecseseznamem"/>
        <w:numPr>
          <w:ilvl w:val="0"/>
          <w:numId w:val="5"/>
        </w:numPr>
      </w:pPr>
      <w:r>
        <w:t xml:space="preserve">velké projekty s celkovou kapitálovou náročností nad 7,5 milionu euro – podpora až 60 % </w:t>
      </w:r>
      <w:r w:rsidRPr="00140625">
        <w:rPr>
          <w:b/>
        </w:rPr>
        <w:t>dodatečných</w:t>
      </w:r>
      <w:r>
        <w:t xml:space="preserve"> kapitálových a provozních nákladů</w:t>
      </w:r>
    </w:p>
    <w:p w:rsidR="00140625" w:rsidRDefault="00140625" w:rsidP="00140625">
      <w:pPr>
        <w:pStyle w:val="Odstavecseseznamem"/>
      </w:pPr>
    </w:p>
    <w:p w:rsidR="00140625" w:rsidRDefault="00140625" w:rsidP="00140625">
      <w:pPr>
        <w:pStyle w:val="Nadpis2"/>
      </w:pPr>
      <w:r>
        <w:t>Schéma čerpání dotace</w:t>
      </w:r>
    </w:p>
    <w:p w:rsidR="00140625" w:rsidRPr="00140625" w:rsidRDefault="00140625" w:rsidP="00140625"/>
    <w:p w:rsidR="000B5608" w:rsidRDefault="00140625" w:rsidP="0000695C">
      <w:r w:rsidRPr="00140625">
        <w:rPr>
          <w:noProof/>
          <w:lang w:eastAsia="cs-CZ"/>
        </w:rPr>
        <w:drawing>
          <wp:inline distT="0" distB="0" distL="0" distR="0" wp14:anchorId="57D20096" wp14:editId="2AFFFFF5">
            <wp:extent cx="5760720" cy="2686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608" w:rsidRDefault="000B5608" w:rsidP="0000695C"/>
    <w:p w:rsidR="00140625" w:rsidRDefault="00C2206F" w:rsidP="0000695C">
      <w:r>
        <w:lastRenderedPageBreak/>
        <w:t xml:space="preserve">Podkladem je kvalitní studie proveditelnosti. Schválený projekt dostane až 40 % schválené dotace v přípravném procesu a následně zbylou část postupně dle úspěšnosti plnění. Minimálně musí dojít k úspoře </w:t>
      </w:r>
      <w:r w:rsidR="00E43525">
        <w:t>7</w:t>
      </w:r>
      <w:r>
        <w:t>5 % emisí navržených ve studii proveditelnosti, aby se žádná část dotace nemusela vracet.</w:t>
      </w:r>
    </w:p>
    <w:p w:rsidR="00140625" w:rsidRDefault="00140625" w:rsidP="0000695C"/>
    <w:p w:rsidR="00140625" w:rsidRDefault="00140625" w:rsidP="0000695C"/>
    <w:p w:rsidR="00140625" w:rsidRDefault="00C2206F" w:rsidP="00140625">
      <w:pPr>
        <w:pStyle w:val="Nadpis2"/>
      </w:pPr>
      <w:r>
        <w:t>Rozvojová pomoc</w:t>
      </w:r>
      <w:r w:rsidR="00140625">
        <w:t xml:space="preserve"> (PDA)</w:t>
      </w:r>
    </w:p>
    <w:p w:rsidR="00140625" w:rsidRDefault="00140625" w:rsidP="0000695C"/>
    <w:p w:rsidR="0000695C" w:rsidRPr="0000695C" w:rsidRDefault="00140625" w:rsidP="0000695C">
      <w:r>
        <w:t>Pokud projekt nebude porotou vybrán k přímé finanční podpoře, může získat tzv. Rozvojovou Pomoc od Evropské Investiční Banky. Ta slouží k doplnění a zkvalitnění žádosti, aby byl uchazeč v příštím kole úspěšný.</w:t>
      </w:r>
      <w:r w:rsidR="00B94D79">
        <w:t xml:space="preserve"> Získaní PDA je podmíněna splněním Redukce emisí skleníkových plynů, Míry inovace a zisku aspoň 50 bodů Pokročilosti projektu</w:t>
      </w:r>
    </w:p>
    <w:p w:rsidR="00892D4C" w:rsidRDefault="00892D4C" w:rsidP="00892D4C"/>
    <w:p w:rsidR="00140625" w:rsidRDefault="00140625" w:rsidP="00892D4C"/>
    <w:p w:rsidR="00171BAC" w:rsidRDefault="00140625" w:rsidP="00FF3B72">
      <w:pPr>
        <w:pStyle w:val="Nadpis2"/>
      </w:pPr>
      <w:r>
        <w:t>Kritéria dotace</w:t>
      </w:r>
    </w:p>
    <w:p w:rsidR="00C2206F" w:rsidRPr="00C2206F" w:rsidRDefault="00C2206F" w:rsidP="00C2206F"/>
    <w:p w:rsidR="00892D4C" w:rsidRDefault="00C2206F" w:rsidP="00C2206F">
      <w:pPr>
        <w:pStyle w:val="Nadpis3"/>
      </w:pPr>
      <w:r>
        <w:t xml:space="preserve">Redukce emisí skleníkových plynů (GHG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avoidance</w:t>
      </w:r>
      <w:proofErr w:type="spellEnd"/>
      <w:r>
        <w:t>)</w:t>
      </w:r>
    </w:p>
    <w:p w:rsidR="00B5754D" w:rsidRDefault="00EB17AC" w:rsidP="00EB17AC">
      <w:pPr>
        <w:pStyle w:val="Odstavecseseznamem"/>
        <w:numPr>
          <w:ilvl w:val="0"/>
          <w:numId w:val="7"/>
        </w:numPr>
      </w:pPr>
      <w:r>
        <w:t>K redukci emisí ze studie proveditelnosti musí dojít v prvních 10 letech od počátku fungování projektu</w:t>
      </w:r>
    </w:p>
    <w:p w:rsidR="00EB17AC" w:rsidRPr="00B5754D" w:rsidRDefault="00EB17AC" w:rsidP="00EB17AC">
      <w:pPr>
        <w:pStyle w:val="Odstavecseseznamem"/>
        <w:numPr>
          <w:ilvl w:val="0"/>
          <w:numId w:val="7"/>
        </w:numPr>
      </w:pPr>
      <w:r>
        <w:t xml:space="preserve">Musí být dosaženo aspoň </w:t>
      </w:r>
      <w:r w:rsidR="00FC607E">
        <w:t>75 %</w:t>
      </w:r>
      <w:r>
        <w:t xml:space="preserve"> projektované redukce emisí</w:t>
      </w:r>
    </w:p>
    <w:p w:rsidR="00D46520" w:rsidRDefault="00240A15" w:rsidP="00240A15">
      <w:pPr>
        <w:pStyle w:val="Nadpis3"/>
      </w:pPr>
      <w:r>
        <w:t>Míra inovace (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>)</w:t>
      </w:r>
    </w:p>
    <w:p w:rsidR="00EB17AC" w:rsidRDefault="00EB17AC" w:rsidP="00EB17AC">
      <w:pPr>
        <w:pStyle w:val="Odstavecseseznamem"/>
        <w:numPr>
          <w:ilvl w:val="0"/>
          <w:numId w:val="8"/>
        </w:numPr>
      </w:pPr>
      <w:r>
        <w:t>Podmínka průlomových technologií</w:t>
      </w:r>
    </w:p>
    <w:p w:rsidR="00EB17AC" w:rsidRPr="00EB17AC" w:rsidRDefault="00EB17AC" w:rsidP="00EB17AC">
      <w:pPr>
        <w:pStyle w:val="Odstavecseseznamem"/>
        <w:numPr>
          <w:ilvl w:val="0"/>
          <w:numId w:val="8"/>
        </w:numPr>
      </w:pPr>
      <w:r>
        <w:t>Konzistence s klimatickými cíli Uhlíkové Neutrality EU k roku 2050</w:t>
      </w:r>
    </w:p>
    <w:p w:rsidR="00240A15" w:rsidRDefault="00240A15" w:rsidP="00240A15">
      <w:pPr>
        <w:pStyle w:val="Nadpis3"/>
      </w:pPr>
      <w:r>
        <w:t>Pokročilost projektu (Project Maturity)</w:t>
      </w:r>
    </w:p>
    <w:p w:rsidR="00EB17AC" w:rsidRDefault="00EB17AC" w:rsidP="00EB17AC">
      <w:pPr>
        <w:pStyle w:val="Odstavecseseznamem"/>
        <w:numPr>
          <w:ilvl w:val="0"/>
          <w:numId w:val="9"/>
        </w:numPr>
      </w:pPr>
      <w:r>
        <w:t>Stupeň připravenosti žadatele investovat</w:t>
      </w:r>
    </w:p>
    <w:p w:rsidR="00EB17AC" w:rsidRDefault="00EB17AC" w:rsidP="00EB17AC">
      <w:pPr>
        <w:pStyle w:val="Odstavecseseznamem"/>
        <w:numPr>
          <w:ilvl w:val="0"/>
          <w:numId w:val="9"/>
        </w:numPr>
      </w:pPr>
      <w:r>
        <w:t>Pokročilost projektu (vyjádřena v procentech) – 1</w:t>
      </w:r>
      <w:r w:rsidR="00FC607E">
        <w:t xml:space="preserve"> </w:t>
      </w:r>
      <w:r>
        <w:t xml:space="preserve">% = studie proveditelnosti; </w:t>
      </w:r>
      <w:r w:rsidR="00FC607E">
        <w:t>100 %</w:t>
      </w:r>
      <w:r>
        <w:t xml:space="preserve"> = podmíněné investiční rozhodnutí</w:t>
      </w:r>
    </w:p>
    <w:p w:rsidR="00901495" w:rsidRDefault="00901495" w:rsidP="00901495">
      <w:pPr>
        <w:ind w:left="360"/>
      </w:pPr>
    </w:p>
    <w:p w:rsidR="00EB17AC" w:rsidRDefault="00EB17AC" w:rsidP="00EB17AC">
      <w:pPr>
        <w:ind w:left="360"/>
        <w:rPr>
          <w:b/>
        </w:rPr>
      </w:pPr>
      <w:r w:rsidRPr="00EB17AC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C73BD9F">
            <wp:simplePos x="0" y="0"/>
            <wp:positionH relativeFrom="column">
              <wp:posOffset>747287</wp:posOffset>
            </wp:positionH>
            <wp:positionV relativeFrom="paragraph">
              <wp:posOffset>308538</wp:posOffset>
            </wp:positionV>
            <wp:extent cx="3410585" cy="2035810"/>
            <wp:effectExtent l="0" t="0" r="0" b="254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7AC">
        <w:rPr>
          <w:b/>
        </w:rPr>
        <w:t>Schéma pokročilosti projektu</w:t>
      </w:r>
    </w:p>
    <w:p w:rsidR="00BF746E" w:rsidRPr="00EB17AC" w:rsidRDefault="00BF746E" w:rsidP="00182DD5">
      <w:pPr>
        <w:rPr>
          <w:b/>
        </w:rPr>
      </w:pPr>
    </w:p>
    <w:p w:rsidR="00240A15" w:rsidRDefault="00240A15" w:rsidP="00240A15">
      <w:pPr>
        <w:pStyle w:val="Nadpis3"/>
      </w:pPr>
      <w:proofErr w:type="spellStart"/>
      <w:r>
        <w:t>Scalability</w:t>
      </w:r>
      <w:proofErr w:type="spellEnd"/>
      <w:r>
        <w:t xml:space="preserve"> (rozsáhlost – </w:t>
      </w:r>
      <w:proofErr w:type="spellStart"/>
      <w:r>
        <w:t>nýnější</w:t>
      </w:r>
      <w:proofErr w:type="spellEnd"/>
      <w:r>
        <w:t xml:space="preserve"> i potenciální)</w:t>
      </w:r>
    </w:p>
    <w:p w:rsidR="00BF746E" w:rsidRDefault="00BF746E" w:rsidP="00BF746E">
      <w:pPr>
        <w:pStyle w:val="Odstavecseseznamem"/>
        <w:numPr>
          <w:ilvl w:val="0"/>
          <w:numId w:val="10"/>
        </w:numPr>
      </w:pPr>
      <w:r>
        <w:t>Tržní potenciál k roku 2050</w:t>
      </w:r>
    </w:p>
    <w:p w:rsidR="00BF746E" w:rsidRDefault="00BF746E" w:rsidP="00BF746E">
      <w:pPr>
        <w:pStyle w:val="Odstavecseseznamem"/>
        <w:numPr>
          <w:ilvl w:val="0"/>
          <w:numId w:val="10"/>
        </w:numPr>
      </w:pPr>
      <w:r>
        <w:t>Počet a rozsah přihlášek do Inovačního fondu</w:t>
      </w:r>
    </w:p>
    <w:p w:rsidR="00BF746E" w:rsidRDefault="00BF746E" w:rsidP="00BF746E">
      <w:pPr>
        <w:pStyle w:val="Odstavecseseznamem"/>
        <w:numPr>
          <w:ilvl w:val="0"/>
          <w:numId w:val="10"/>
        </w:numPr>
      </w:pPr>
      <w:r>
        <w:t>Očekávaný pokles nákladů</w:t>
      </w:r>
    </w:p>
    <w:p w:rsidR="00BF746E" w:rsidRPr="00BF746E" w:rsidRDefault="00BF746E" w:rsidP="00BF746E">
      <w:pPr>
        <w:pStyle w:val="Odstavecseseznamem"/>
        <w:numPr>
          <w:ilvl w:val="0"/>
          <w:numId w:val="10"/>
        </w:numPr>
      </w:pPr>
      <w:r>
        <w:t>Dostupnost potřebných zdrojů</w:t>
      </w:r>
    </w:p>
    <w:p w:rsidR="00BF746E" w:rsidRPr="00BF746E" w:rsidRDefault="00BF746E" w:rsidP="00BF746E"/>
    <w:p w:rsidR="00B94D79" w:rsidRPr="00B94D79" w:rsidRDefault="00B5754D" w:rsidP="00B94D79">
      <w:pPr>
        <w:pStyle w:val="Nadpis3"/>
      </w:pPr>
      <w:r>
        <w:t xml:space="preserve">Efektivita nákladů </w:t>
      </w:r>
      <w:r w:rsidR="00B94D79">
        <w:t>(</w:t>
      </w:r>
      <w:proofErr w:type="spellStart"/>
      <w:r w:rsidR="00B94D79">
        <w:t>Cost</w:t>
      </w:r>
      <w:proofErr w:type="spellEnd"/>
      <w:r w:rsidR="00B94D79">
        <w:t xml:space="preserve"> </w:t>
      </w:r>
      <w:proofErr w:type="spellStart"/>
      <w:r w:rsidR="00B94D79">
        <w:t>Efficiency</w:t>
      </w:r>
      <w:proofErr w:type="spellEnd"/>
      <w:r>
        <w:t>)</w:t>
      </w:r>
      <w:r w:rsidR="00B94D79">
        <w:t xml:space="preserve"> </w:t>
      </w:r>
    </w:p>
    <w:p w:rsidR="00240A15" w:rsidRDefault="00BF746E" w:rsidP="00BF746E">
      <w:pPr>
        <w:pStyle w:val="Odstavecseseznamem"/>
        <w:numPr>
          <w:ilvl w:val="0"/>
          <w:numId w:val="12"/>
        </w:numPr>
      </w:pPr>
      <w:r>
        <w:t>Propočet dodatečných kapitálových a operativních výdajů</w:t>
      </w:r>
    </w:p>
    <w:p w:rsidR="00BF746E" w:rsidRDefault="00BF746E" w:rsidP="00BF746E">
      <w:pPr>
        <w:pStyle w:val="Odstavecseseznamem"/>
        <w:numPr>
          <w:ilvl w:val="0"/>
          <w:numId w:val="12"/>
        </w:numPr>
      </w:pPr>
      <w:r>
        <w:t xml:space="preserve">Výpočet celkového výdaje na </w:t>
      </w:r>
      <w:r w:rsidR="00FC607E">
        <w:t xml:space="preserve">ušetřenou </w:t>
      </w:r>
      <w:r>
        <w:t>1 t CO2ekv</w:t>
      </w:r>
      <w:r w:rsidR="00FC607E">
        <w:t xml:space="preserve"> </w:t>
      </w:r>
    </w:p>
    <w:p w:rsidR="00240A15" w:rsidRDefault="00240A15" w:rsidP="00240A15">
      <w:pPr>
        <w:pStyle w:val="Nadpis2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:rsidR="00901495" w:rsidRPr="00901495" w:rsidRDefault="00901495" w:rsidP="00901495">
      <w:r>
        <w:t xml:space="preserve">Inovační fond není veřejnou podporou a lze </w:t>
      </w:r>
      <w:r w:rsidR="00182DD5">
        <w:t xml:space="preserve">jej </w:t>
      </w:r>
      <w:r>
        <w:t>tedy kombinovat</w:t>
      </w:r>
      <w:r w:rsidR="00182DD5">
        <w:t xml:space="preserve"> s </w:t>
      </w:r>
      <w:r w:rsidR="00380335">
        <w:t>jinou</w:t>
      </w:r>
      <w:r w:rsidR="00182DD5">
        <w:t xml:space="preserve"> podporou</w:t>
      </w:r>
      <w:r w:rsidR="00380335">
        <w:t xml:space="preserve"> rámci Nařízení o blokových </w:t>
      </w:r>
      <w:proofErr w:type="spellStart"/>
      <w:r w:rsidR="00380335">
        <w:t>vyjímkách</w:t>
      </w:r>
      <w:proofErr w:type="spellEnd"/>
      <w:r w:rsidR="00380335">
        <w:t xml:space="preserve"> (GBER)</w:t>
      </w:r>
      <w:r w:rsidR="00182DD5">
        <w:t>.</w:t>
      </w:r>
    </w:p>
    <w:p w:rsidR="0034485E" w:rsidRDefault="0034485E" w:rsidP="00892D4C">
      <w:pPr>
        <w:rPr>
          <w:b/>
        </w:rPr>
      </w:pPr>
    </w:p>
    <w:p w:rsidR="000B5608" w:rsidRDefault="000B5608" w:rsidP="000B5608"/>
    <w:p w:rsidR="000B5608" w:rsidRDefault="000B5608" w:rsidP="000B5608"/>
    <w:p w:rsidR="000B5608" w:rsidRPr="000B5608" w:rsidRDefault="000B5608" w:rsidP="000B5608"/>
    <w:p w:rsidR="000B5608" w:rsidRPr="000B5608" w:rsidRDefault="000B5608" w:rsidP="000B5608"/>
    <w:p w:rsidR="000B5608" w:rsidRPr="000B5608" w:rsidRDefault="000B5608" w:rsidP="000B5608"/>
    <w:p w:rsidR="000B5608" w:rsidRDefault="000B5608" w:rsidP="000B5608"/>
    <w:p w:rsidR="000B5608" w:rsidRPr="000B5608" w:rsidRDefault="000B5608" w:rsidP="000B5608"/>
    <w:p w:rsidR="00D13C6E" w:rsidRDefault="00D13C6E" w:rsidP="00892D4C">
      <w:pPr>
        <w:rPr>
          <w:b/>
        </w:rPr>
      </w:pPr>
    </w:p>
    <w:p w:rsidR="00D13C6E" w:rsidRPr="00D13C6E" w:rsidRDefault="00D13C6E" w:rsidP="00892D4C"/>
    <w:sectPr w:rsidR="00D13C6E" w:rsidRPr="00D13C6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08" w:rsidRDefault="00874608" w:rsidP="00833B8D">
      <w:pPr>
        <w:spacing w:after="0" w:line="240" w:lineRule="auto"/>
      </w:pPr>
      <w:r>
        <w:separator/>
      </w:r>
    </w:p>
  </w:endnote>
  <w:endnote w:type="continuationSeparator" w:id="0">
    <w:p w:rsidR="00874608" w:rsidRDefault="00874608" w:rsidP="0083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891811"/>
      <w:docPartObj>
        <w:docPartGallery w:val="Page Numbers (Bottom of Page)"/>
        <w:docPartUnique/>
      </w:docPartObj>
    </w:sdtPr>
    <w:sdtEndPr/>
    <w:sdtContent>
      <w:p w:rsidR="00833B8D" w:rsidRDefault="00833B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DBD">
          <w:rPr>
            <w:noProof/>
          </w:rPr>
          <w:t>3</w:t>
        </w:r>
        <w:r>
          <w:fldChar w:fldCharType="end"/>
        </w:r>
      </w:p>
    </w:sdtContent>
  </w:sdt>
  <w:p w:rsidR="00833B8D" w:rsidRDefault="00833B8D" w:rsidP="00833B8D">
    <w:pPr>
      <w:pStyle w:val="Zpat"/>
      <w:jc w:val="right"/>
    </w:pPr>
    <w:r>
      <w:t>Martin Šauer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08" w:rsidRDefault="00874608" w:rsidP="00833B8D">
      <w:pPr>
        <w:spacing w:after="0" w:line="240" w:lineRule="auto"/>
      </w:pPr>
      <w:r>
        <w:separator/>
      </w:r>
    </w:p>
  </w:footnote>
  <w:footnote w:type="continuationSeparator" w:id="0">
    <w:p w:rsidR="00874608" w:rsidRDefault="00874608" w:rsidP="0083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B8D" w:rsidRDefault="00833B8D" w:rsidP="00833B8D">
    <w:pPr>
      <w:pStyle w:val="Zhlav"/>
      <w:jc w:val="center"/>
    </w:pPr>
    <w:r>
      <w:rPr>
        <w:noProof/>
        <w:lang w:eastAsia="cs-CZ"/>
      </w:rPr>
      <w:drawing>
        <wp:inline distT="0" distB="0" distL="0" distR="0" wp14:anchorId="63200328" wp14:editId="5E25F177">
          <wp:extent cx="1790700" cy="314325"/>
          <wp:effectExtent l="0" t="0" r="0" b="9525"/>
          <wp:docPr id="15" name="Obrázek 15" descr="C:\Users\user\AppData\Local\Temp\notesD06208\~b90360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notesD06208\~b903601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7904" b="-6452"/>
                  <a:stretch/>
                </pic:blipFill>
                <pic:spPr bwMode="auto">
                  <a:xfrm>
                    <a:off x="0" y="0"/>
                    <a:ext cx="17907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7F6"/>
    <w:multiLevelType w:val="hybridMultilevel"/>
    <w:tmpl w:val="90BE34C8"/>
    <w:lvl w:ilvl="0" w:tplc="C32891D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9CD7061"/>
    <w:multiLevelType w:val="hybridMultilevel"/>
    <w:tmpl w:val="21EA8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674E"/>
    <w:multiLevelType w:val="hybridMultilevel"/>
    <w:tmpl w:val="DFC4F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F1389"/>
    <w:multiLevelType w:val="hybridMultilevel"/>
    <w:tmpl w:val="3A207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102D"/>
    <w:multiLevelType w:val="hybridMultilevel"/>
    <w:tmpl w:val="800814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18FA"/>
    <w:multiLevelType w:val="hybridMultilevel"/>
    <w:tmpl w:val="E22AE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08A9"/>
    <w:multiLevelType w:val="hybridMultilevel"/>
    <w:tmpl w:val="BA94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B11E7"/>
    <w:multiLevelType w:val="hybridMultilevel"/>
    <w:tmpl w:val="1F267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E4B91"/>
    <w:multiLevelType w:val="hybridMultilevel"/>
    <w:tmpl w:val="A0E04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C6907"/>
    <w:multiLevelType w:val="hybridMultilevel"/>
    <w:tmpl w:val="18DAD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077F0"/>
    <w:multiLevelType w:val="hybridMultilevel"/>
    <w:tmpl w:val="180A7BF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6672838"/>
    <w:multiLevelType w:val="hybridMultilevel"/>
    <w:tmpl w:val="2AF8C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8D"/>
    <w:rsid w:val="0000695C"/>
    <w:rsid w:val="000B5608"/>
    <w:rsid w:val="000F4069"/>
    <w:rsid w:val="000F5E59"/>
    <w:rsid w:val="00140625"/>
    <w:rsid w:val="00171BAC"/>
    <w:rsid w:val="00182DD5"/>
    <w:rsid w:val="001956FD"/>
    <w:rsid w:val="00240A15"/>
    <w:rsid w:val="00267A32"/>
    <w:rsid w:val="0034485E"/>
    <w:rsid w:val="00380335"/>
    <w:rsid w:val="003A24BB"/>
    <w:rsid w:val="00436DBD"/>
    <w:rsid w:val="00833B8D"/>
    <w:rsid w:val="00852426"/>
    <w:rsid w:val="00865471"/>
    <w:rsid w:val="00874608"/>
    <w:rsid w:val="00892D4C"/>
    <w:rsid w:val="008C2192"/>
    <w:rsid w:val="00901495"/>
    <w:rsid w:val="00941698"/>
    <w:rsid w:val="00990F6D"/>
    <w:rsid w:val="009B2EDD"/>
    <w:rsid w:val="00AE559D"/>
    <w:rsid w:val="00B5754D"/>
    <w:rsid w:val="00B769E6"/>
    <w:rsid w:val="00B94D79"/>
    <w:rsid w:val="00BE7A4D"/>
    <w:rsid w:val="00BF746E"/>
    <w:rsid w:val="00C2206F"/>
    <w:rsid w:val="00D13C6E"/>
    <w:rsid w:val="00D46520"/>
    <w:rsid w:val="00D539F0"/>
    <w:rsid w:val="00E43525"/>
    <w:rsid w:val="00EB17AC"/>
    <w:rsid w:val="00F213E5"/>
    <w:rsid w:val="00F872CD"/>
    <w:rsid w:val="00FC607E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2923513-66E9-461D-894C-39C3C6A4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3B8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0A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000000" w:themeColor="text1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3B8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Zhlav">
    <w:name w:val="header"/>
    <w:basedOn w:val="Normln"/>
    <w:link w:val="ZhlavChar"/>
    <w:uiPriority w:val="99"/>
    <w:unhideWhenUsed/>
    <w:rsid w:val="0083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B8D"/>
  </w:style>
  <w:style w:type="paragraph" w:styleId="Zpat">
    <w:name w:val="footer"/>
    <w:basedOn w:val="Normln"/>
    <w:link w:val="ZpatChar"/>
    <w:uiPriority w:val="99"/>
    <w:unhideWhenUsed/>
    <w:rsid w:val="0083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B8D"/>
  </w:style>
  <w:style w:type="character" w:customStyle="1" w:styleId="Nadpis2Char">
    <w:name w:val="Nadpis 2 Char"/>
    <w:basedOn w:val="Standardnpsmoodstavce"/>
    <w:link w:val="Nadpis2"/>
    <w:uiPriority w:val="9"/>
    <w:rsid w:val="00892D4C"/>
    <w:rPr>
      <w:rFonts w:asciiTheme="majorHAnsi" w:eastAsiaTheme="majorEastAsia" w:hAnsiTheme="majorHAnsi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872C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485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448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8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240A15"/>
    <w:rPr>
      <w:rFonts w:asciiTheme="majorHAnsi" w:eastAsiaTheme="majorEastAsia" w:hAnsiTheme="majorHAnsi" w:cstheme="majorBidi"/>
      <w:i/>
      <w:color w:val="000000" w:themeColor="text1"/>
      <w:sz w:val="28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C6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lima/eu-action/funding-climate-action/innovation-fund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EB53-6C69-43A1-AFBA-E8A9F360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Šauer Martin</dc:creator>
  <cp:keywords/>
  <dc:description/>
  <cp:lastModifiedBy>Lásková Lenka</cp:lastModifiedBy>
  <cp:revision>2</cp:revision>
  <dcterms:created xsi:type="dcterms:W3CDTF">2022-05-25T12:53:00Z</dcterms:created>
  <dcterms:modified xsi:type="dcterms:W3CDTF">2022-05-25T12:53:00Z</dcterms:modified>
</cp:coreProperties>
</file>